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ADVISOR BRIEF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Ask or Infer?｜汇报精简版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15–20 分钟讲清 δ、Ask / Infer、CFA 与 novelty-kill pilot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导师汇报 · 组会讲解 · 决策讨论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v0.68 · 汇报精简版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9 月 8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Full Persona → Ask High-δ → Infer with Evidence → Final Delivery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PDR 测完整 persona 给到后会不会用；本项目测缺信息时会不会问、用户离线时会不会有边界地推断。</w:t>
      </w:r>
    </w:p>
    <w:p>
      <w:r>
        <w:br w:type="page"/>
      </w:r>
    </w:p>
    <w:p>
      <w:pPr>
        <w:pStyle w:val="Heading1"/>
        <w:spacing w:before="0"/>
      </w:pPr>
      <w:r>
        <w:t>内容导航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PDR 边界与 50→15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四个 RQ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δ 与真人真值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Ask / Infer 条件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Ask Calibration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CFA 与非补偿评分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排名稳定性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Pilot 与 Go / No-Go</w:t>
      </w:r>
    </w:p>
    <w:p>
      <w:pPr>
        <w:spacing w:before="240" w:after="0"/>
      </w:pPr>
      <w:r>
        <w:rPr>
          <w:rFonts w:ascii="Calibri" w:hAnsi="Calibri" w:eastAsia="PingFang SC"/>
          <w:i/>
          <w:color w:val="5B6B7A"/>
          <w:sz w:val="21"/>
        </w:rPr>
        <w:t>建议讲法：4 分钟 PDR 边界与 50→15，4 分钟 δ 与双轨，4 分钟过程/最终指标，4 分钟 pilot 与停止条件。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headerReference w:type="even" r:id="rId11"/>
          <w:footerReference w:type="even" r:id="rId12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AskInfer-Bench：一张图讲完评测流程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AskInfer-Bench 研究流程：从同任务 delta 操纵和真人真值，到 Ask / Infer 双轨、提问校准、跨用户交付物评分与 PDR 排名稳定性。" title="AskInfer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Infer-Bench_评测框架_v0.6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同任务 δ 操纵、Ask / Infer 条件、过程校准、最终交付物和 PDR 排名稳定性。</w:t>
      </w:r>
    </w:p>
    <w:p>
      <w:pPr>
        <w:sectPr>
          <w:headerReference w:type="default" r:id="rId13"/>
          <w:footerReference w:type="default" r:id="rId14"/>
          <w:headerReference w:type="even" r:id="rId15"/>
          <w:footerReference w:type="even" r:id="rId16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0. 一句话</w:t>
      </w:r>
    </w:p>
    <w:p>
      <w:r>
        <w:rPr>
          <w:rFonts w:ascii="Calibri" w:hAnsi="Calibri" w:eastAsia="PingFang SC"/>
        </w:rPr>
        <w:t>在用户不主动补全 specification 的真实情境中，评价 agent 是否会问真正改变交付物的偏好；用户离线时，评价 agent 是否只从 history 的证据做有边界的推断。</w:t>
      </w:r>
    </w:p>
    <w:p>
      <w:pPr>
        <w:pStyle w:val="Heading1"/>
      </w:pPr>
      <w:r>
        <w:t>1. 相对 PDR-Bench 改了什么</w:t>
      </w:r>
    </w:p>
    <w:p>
      <w:r>
        <w:rPr>
          <w:rFonts w:ascii="Calibri" w:hAnsi="Calibri" w:eastAsia="PingFang SC"/>
        </w:rPr>
        <w:t>PDR-Bench：</w:t>
      </w:r>
      <w:r>
        <w:rPr>
          <w:rFonts w:ascii="Courier New" w:hAnsi="Courier New" w:eastAsia="PingFang SC"/>
          <w:color w:val="6A3E00"/>
          <w:sz w:val="20"/>
        </w:rPr>
        <w:t>task + full structured persona → personalized Deep Research report</w:t>
      </w:r>
      <w:r>
        <w:rPr>
          <w:rFonts w:ascii="Calibri" w:hAnsi="Calibri" w:eastAsia="PingFang SC"/>
        </w:rPr>
        <w:t>，测完整用户信息给到后会不会用。</w:t>
      </w:r>
      <w:hyperlink r:id="rId22">
        <w:r>
          <w:rPr>
            <w:rFonts w:ascii="Calibri" w:hAnsi="Calibri" w:eastAsia="PingFang SC"/>
            <w:color w:val="2E74B5"/>
            <w:u w:val="single"/>
          </w:rPr>
          <w:t>[1]</w:t>
        </w:r>
      </w:hyperlink>
    </w:p>
    <w:p>
      <w:r>
        <w:rPr>
          <w:rFonts w:ascii="Calibri" w:hAnsi="Calibri" w:eastAsia="PingFang SC"/>
        </w:rPr>
        <w:t>本项目：</w:t>
      </w:r>
    </w:p>
    <w:p>
      <w:pPr>
        <w:pStyle w:val="ListBullet"/>
      </w:pPr>
      <w:r>
        <w:rPr>
          <w:rFonts w:ascii="Calibri" w:hAnsi="Calibri" w:eastAsia="PingFang SC"/>
          <w:b/>
        </w:rPr>
        <w:t>Ask</w:t>
      </w:r>
      <w:r>
        <w:rPr>
          <w:rFonts w:ascii="Calibri" w:hAnsi="Calibri" w:eastAsia="PingFang SC"/>
        </w:rPr>
        <w:t>：裁减 history，用户在线，agent 自己决定问什么；Research / Coding / Data 三域；</w:t>
      </w:r>
    </w:p>
    <w:p>
      <w:pPr>
        <w:pStyle w:val="ListBullet"/>
      </w:pPr>
      <w:r>
        <w:rPr>
          <w:rFonts w:ascii="Calibri" w:hAnsi="Calibri" w:eastAsia="PingFang SC"/>
          <w:b/>
        </w:rPr>
        <w:t>Infer</w:t>
      </w:r>
      <w:r>
        <w:rPr>
          <w:rFonts w:ascii="Calibri" w:hAnsi="Calibri" w:eastAsia="PingFang SC"/>
        </w:rPr>
        <w:t>：同一 history，用户离线，agent 只能 evidence-bounded inference；首版只做 Deep Research；</w:t>
      </w:r>
    </w:p>
    <w:p>
      <w:pPr>
        <w:pStyle w:val="ListBullet"/>
      </w:pPr>
      <w:r>
        <w:rPr>
          <w:rFonts w:ascii="Calibri" w:hAnsi="Calibri" w:eastAsia="PingFang SC"/>
          <w:b/>
        </w:rPr>
        <w:t>Bridge</w:t>
      </w:r>
      <w:r>
        <w:rPr>
          <w:rFonts w:ascii="Calibri" w:hAnsi="Calibri" w:eastAsia="PingFang SC"/>
        </w:rPr>
        <w:t>：共享 DR slice 追加 PDR-style full persona，检验同一 agent 排名是否稳定。</w:t>
      </w:r>
    </w:p>
    <w:p>
      <w:r>
        <w:rPr>
          <w:rFonts w:ascii="Calibri" w:hAnsi="Calibri" w:eastAsia="PingFang SC"/>
        </w:rPr>
        <w:t>纠正：PDR 不是 implicit elicitation；它是 full-context inference/projection。完整 persona 不能进入 Ask 主条件。</w:t>
      </w:r>
    </w:p>
    <w:p>
      <w:pPr>
        <w:pStyle w:val="Heading1"/>
      </w:pPr>
      <w:r>
        <w:t>2. 四个 RQ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Ask 是否相对 No-Ask 提高最终交付物？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 xml:space="preserve">提问行为是否随 preference divergence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增加？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Infer 能否利用 history-evidenced preference，同时抑制 unsupported projection？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PDR-style、Ask、Infer 的系统排序是否稳定重排？</w:t>
      </w:r>
    </w:p>
    <w:p>
      <w:r>
        <w:rPr>
          <w:rFonts w:ascii="Calibri" w:hAnsi="Calibri" w:eastAsia="PingFang SC"/>
        </w:rPr>
        <w:t xml:space="preserve">“模型不区分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”“排名反转”都只是预注册假设，不是预设结论。</w:t>
      </w:r>
    </w:p>
    <w:p>
      <w:pPr>
        <w:pStyle w:val="Heading1"/>
      </w:pPr>
      <w:r>
        <w:t>3. `δ` 怎样定义</w:t>
      </w:r>
    </w:p>
    <w:p>
      <w:r>
        <w:rPr>
          <w:rFonts w:ascii="Calibri" w:hAnsi="Calibri" w:eastAsia="PingFang SC"/>
        </w:rPr>
        <w:t xml:space="preserve">同一基础任务构造 </w:t>
      </w: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 xml:space="preserve"> 用户差异：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0</w:t>
      </w:r>
      <w:r>
        <w:rPr>
          <w:rFonts w:ascii="Calibri" w:hAnsi="Calibri" w:eastAsia="PingFang SC"/>
        </w:rPr>
        <w:t>：不应改变内容决定；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low</w:t>
      </w:r>
      <w:r>
        <w:rPr>
          <w:rFonts w:ascii="Calibri" w:hAnsi="Calibri" w:eastAsia="PingFang SC"/>
        </w:rPr>
        <w:t>：改变辅助实现、排序或解释；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high</w:t>
      </w:r>
      <w:r>
        <w:rPr>
          <w:rFonts w:ascii="Calibri" w:hAnsi="Calibri" w:eastAsia="PingFang SC"/>
        </w:rPr>
        <w:t>：改变 evidence set、算法/接口、指标定义、关键切片、结论或风险边界。</w:t>
      </w:r>
    </w:p>
    <w:p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在模型运行前由用户、任务专家和两名独立验证者冻结。每条 preference 必须指向具体 deliverable decision。两人无法解决的分歧直接剔除。</w:t>
      </w:r>
    </w:p>
    <w:p>
      <w:pPr>
        <w:pStyle w:val="Heading1"/>
      </w:pPr>
      <w:r>
        <w:t>4. Ask 条件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A0 No-Ask</w:t>
      </w:r>
      <w:r>
        <w:rPr>
          <w:rFonts w:ascii="Calibri" w:hAnsi="Calibri" w:eastAsia="PingFang SC"/>
        </w:rPr>
        <w:t>：裁减 history，用户通道关闭；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A1 Ask-Enabled</w:t>
      </w:r>
      <w:r>
        <w:rPr>
          <w:rFonts w:ascii="Calibri" w:hAnsi="Calibri" w:eastAsia="PingFang SC"/>
        </w:rPr>
        <w:t>：同一 history，用户可回答，固定问题/turn/token budget；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A2 Task-Specific Oracle</w:t>
      </w:r>
      <w:r>
        <w:rPr>
          <w:rFonts w:ascii="Calibri" w:hAnsi="Calibri" w:eastAsia="PingFang SC"/>
        </w:rPr>
        <w:t>：完整 task-relevant preferences 直接给到。</w:t>
      </w:r>
    </w:p>
    <w:p>
      <w:r>
        <w:rPr>
          <w:rFonts w:ascii="Calibri" w:hAnsi="Calibri" w:eastAsia="PingFang SC"/>
        </w:rPr>
        <w:t>少量 Nudge 只诊断自主触发，不进主榜。</w:t>
      </w:r>
    </w:p>
    <w:p>
      <w:pPr>
        <w:pStyle w:val="Heading1"/>
      </w:pPr>
      <w:r>
        <w:t>5. Infer / PDR bridge</w:t>
      </w:r>
    </w:p>
    <w:p>
      <w:r>
        <w:rPr>
          <w:rFonts w:ascii="Calibri" w:hAnsi="Calibri" w:eastAsia="PingFang SC"/>
        </w:rPr>
        <w:t>Deep Research 运行：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I0 Task-Only</w:t>
      </w:r>
      <w:r>
        <w:rPr>
          <w:rFonts w:ascii="Calibri" w:hAnsi="Calibri" w:eastAsia="PingFang SC"/>
        </w:rPr>
        <w:t>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I1 Natural-History Infer</w:t>
      </w:r>
      <w:r>
        <w:rPr>
          <w:rFonts w:ascii="Calibri" w:hAnsi="Calibri" w:eastAsia="PingFang SC"/>
        </w:rPr>
        <w:t>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I2 Task-Specific Oracle</w:t>
      </w:r>
      <w:r>
        <w:rPr>
          <w:rFonts w:ascii="Calibri" w:hAnsi="Calibri" w:eastAsia="PingFang SC"/>
        </w:rPr>
        <w:t>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I3 PDR-Style Full Persona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History nodes 预先标成 recoverable、missing_askable、unidentifiable、irrelevant。Infer 不奖励对 unidentifiable preference 的猜测命中。</w:t>
      </w:r>
    </w:p>
    <w:p>
      <w:pPr>
        <w:pStyle w:val="Heading1"/>
      </w:pPr>
      <w:r>
        <w:t>6. Ask Calibration Under Preference Divergence</w:t>
      </w:r>
    </w:p>
    <w:p>
      <w:r>
        <w:rPr>
          <w:rFonts w:ascii="Calibri" w:hAnsi="Calibri" w:eastAsia="PingFang SC"/>
        </w:rPr>
        <w:t>不看“问了几个”，看“有限预算问在哪里”：</w:t>
      </w:r>
    </w:p>
    <w:p>
      <w:pPr>
        <w:pStyle w:val="ListBullet"/>
      </w:pPr>
      <w:r>
        <w:rPr>
          <w:rFonts w:ascii="Calibri" w:hAnsi="Calibri" w:eastAsia="PingFang SC"/>
        </w:rPr>
        <w:t>High-δ Recall@B；</w:t>
      </w:r>
    </w:p>
    <w:p>
      <w:pPr>
        <w:pStyle w:val="ListBullet"/>
      </w:pPr>
      <w:r>
        <w:rPr>
          <w:rFonts w:ascii="Calibri" w:hAnsi="Calibri" w:eastAsia="PingFang SC"/>
        </w:rPr>
        <w:t>Question Precision@B；</w:t>
      </w:r>
    </w:p>
    <w:p>
      <w:pPr>
        <w:pStyle w:val="ListBullet"/>
      </w:pPr>
      <w:r>
        <w:rPr>
          <w:rFonts w:ascii="Calibri" w:hAnsi="Calibri" w:eastAsia="PingFang SC"/>
        </w:rPr>
        <w:t>Low/Zero-δ Question Rate；</w:t>
      </w:r>
    </w:p>
    <w:p>
      <w:pPr>
        <w:pStyle w:val="ListBullet"/>
      </w:pPr>
      <w:r>
        <w:rPr>
          <w:rFonts w:ascii="Calibri" w:hAnsi="Calibri" w:eastAsia="PingFang SC"/>
        </w:rPr>
        <w:t>First-Critical Rank；</w:t>
      </w:r>
    </w:p>
    <w:p>
      <w:pPr>
        <w:pStyle w:val="ListBullet"/>
      </w:pPr>
      <w:r>
        <w:rPr>
          <w:rFonts w:ascii="Calibri" w:hAnsi="Calibri" w:eastAsia="PingFang SC"/>
        </w:rPr>
        <w:t>Stopping Error；</w:t>
      </w:r>
    </w:p>
    <w:p>
      <w:pPr>
        <w:pStyle w:val="ListBullet"/>
      </w:pPr>
      <w:r>
        <w:rPr>
          <w:rFonts w:ascii="Calibri" w:hAnsi="Calibri" w:eastAsia="PingFang SC"/>
        </w:rPr>
        <w:t>User Burden；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unknown → asked → answered → planned → artifact-evidenced → decision_changed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 xml:space="preserve">主模型估计 </w:t>
      </w:r>
      <w:r>
        <w:rPr>
          <w:rFonts w:ascii="Courier New" w:hAnsi="Courier New" w:eastAsia="PingFang SC"/>
          <w:color w:val="6A3E00"/>
          <w:sz w:val="20"/>
        </w:rPr>
        <w:t>P(ask)</w:t>
      </w:r>
      <w:r>
        <w:rPr>
          <w:rFonts w:ascii="Calibri" w:hAnsi="Calibri" w:eastAsia="PingFang SC"/>
        </w:rPr>
        <w:t xml:space="preserve"> 随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的 agent-specific slope。基础任务是聚类单位，node/turn 不当独立样本。</w:t>
      </w:r>
    </w:p>
    <w:p>
      <w:pPr>
        <w:pStyle w:val="Heading1"/>
      </w:pPr>
      <w:r>
        <w:t>7. CFA 保留，但不越权</w:t>
      </w:r>
    </w:p>
    <w:p>
      <w:r>
        <w:rPr>
          <w:rFonts w:ascii="Calibri" w:hAnsi="Calibri" w:eastAsia="PingFang SC"/>
        </w:rPr>
        <w:t>对用户 A/B 的交付物交叉评分：</w:t>
      </w:r>
    </w:p>
    <w:p>
      <w:r>
        <w:rPr>
          <w:rFonts w:ascii="Courier New" w:hAnsi="Courier New" w:eastAsia="PingFang SC"/>
          <w:color w:val="6A3E00"/>
          <w:sz w:val="20"/>
        </w:rPr>
        <w:t>Δ_A=PF_A(Y_A)-PF_A(Y_B)</w:t>
      </w:r>
    </w:p>
    <w:p>
      <w:r>
        <w:rPr>
          <w:rFonts w:ascii="Courier New" w:hAnsi="Courier New" w:eastAsia="PingFang SC"/>
          <w:color w:val="6A3E00"/>
          <w:sz w:val="20"/>
        </w:rPr>
        <w:t>Δ_B=PF_B(Y_B)-PF_B(Y_A)</w:t>
      </w:r>
    </w:p>
    <w:p>
      <w:r>
        <w:rPr>
          <w:rFonts w:ascii="Courier New" w:hAnsi="Courier New" w:eastAsia="PingFang SC"/>
          <w:color w:val="6A3E00"/>
          <w:sz w:val="20"/>
        </w:rPr>
        <w:t>CFA_mean=(Δ_A+Δ_B)/2</w:t>
      </w:r>
      <w:r>
        <w:rPr>
          <w:rFonts w:ascii="Calibri" w:hAnsi="Calibri" w:eastAsia="PingFang SC"/>
        </w:rPr>
        <w:t>，</w:t>
      </w:r>
      <w:r>
        <w:rPr>
          <w:rFonts w:ascii="Courier New" w:hAnsi="Courier New" w:eastAsia="PingFang SC"/>
          <w:color w:val="6A3E00"/>
          <w:sz w:val="20"/>
        </w:rPr>
        <w:t>CFA_min=min(Δ_A,Δ_B)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CFA 只测 final artifact specificity。确认性成功还要同时过：absolute adequacy、Ask-vs-No-Ask / Infer-vs-Task-Only gain、共同质量 no-harm、boundary no-violation 和真人盲评。维度不合成总分。</w:t>
      </w:r>
    </w:p>
    <w:p>
      <w:pPr>
        <w:pStyle w:val="Heading1"/>
      </w:pPr>
      <w:r>
        <w:t>8. Ground truth 与 rubric</w:t>
      </w:r>
    </w:p>
    <w:p>
      <w:pPr>
        <w:pStyle w:val="ListBullet"/>
      </w:pPr>
      <w:r>
        <w:rPr>
          <w:rFonts w:ascii="Calibri" w:hAnsi="Calibri" w:eastAsia="PingFang SC"/>
        </w:rPr>
        <w:t>真人用户提供 task-specific facts、preferences、acceptable alternatives 和 critical decisions；</w:t>
      </w:r>
    </w:p>
    <w:p>
      <w:pPr>
        <w:pStyle w:val="ListBullet"/>
      </w:pPr>
      <w:r>
        <w:rPr>
          <w:rFonts w:ascii="Calibri" w:hAnsi="Calibri" w:eastAsia="PingFang SC"/>
        </w:rPr>
        <w:t>LLM 只做候选扩展和 atomic leaf 编译；</w:t>
      </w:r>
    </w:p>
    <w:p>
      <w:pPr>
        <w:pStyle w:val="ListBullet"/>
      </w:pPr>
      <w:r>
        <w:rPr>
          <w:rFonts w:ascii="Calibri" w:hAnsi="Calibri" w:eastAsia="PingFang SC"/>
        </w:rPr>
        <w:t>两名人类独立 approve/edit/delete；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compiler_inference</w:t>
      </w:r>
      <w:r>
        <w:rPr>
          <w:rFonts w:ascii="Calibri" w:hAnsi="Calibri" w:eastAsia="PingFang SC"/>
        </w:rPr>
        <w:t xml:space="preserve"> 确认性权重为 0；</w:t>
      </w:r>
    </w:p>
    <w:p>
      <w:pPr>
        <w:pStyle w:val="ListBullet"/>
      </w:pPr>
      <w:r>
        <w:rPr>
          <w:rFonts w:ascii="Calibri" w:hAnsi="Calibri" w:eastAsia="PingFang SC"/>
        </w:rPr>
        <w:t>每条 leaf 必须说明会改变哪个 deliverable choice。</w:t>
      </w:r>
    </w:p>
    <w:p>
      <w:r>
        <w:rPr>
          <w:rFonts w:ascii="Calibri" w:hAnsi="Calibri" w:eastAsia="PingFang SC"/>
        </w:rPr>
        <w:t>这避免“LLM 造 persona → LLM 造 rubric → LLM 自己得高分”的循环。</w:t>
      </w:r>
    </w:p>
    <w:p>
      <w:pPr>
        <w:pStyle w:val="Heading1"/>
      </w:pPr>
      <w:r>
        <w:t>9. PDR tasks/persona 的用法</w:t>
      </w:r>
    </w:p>
    <w:p>
      <w:r>
        <w:rPr>
          <w:rFonts w:ascii="Calibri" w:hAnsi="Calibri" w:eastAsia="PingFang SC"/>
        </w:rPr>
        <w:t>可以：复用 task source shell，structured persona 用作 full-persona bridge。</w:t>
      </w:r>
      <w:hyperlink r:id="rId23">
        <w:r>
          <w:rPr>
            <w:rFonts w:ascii="Calibri" w:hAnsi="Calibri" w:eastAsia="PingFang SC"/>
            <w:color w:val="2E74B5"/>
            <w:u w:val="single"/>
          </w:rPr>
          <w:t>[2]</w:t>
        </w:r>
      </w:hyperlink>
    </w:p>
    <w:p>
      <w:r>
        <w:rPr>
          <w:rFonts w:ascii="Calibri" w:hAnsi="Calibri" w:eastAsia="PingFang SC"/>
        </w:rPr>
        <w:t>不可以：把完整 persona 暴露给 Ask 主条件；把 simulated context 当真实 history；不经 task-conditioned human freeze 直接当新 gold。</w:t>
      </w:r>
    </w:p>
    <w:p>
      <w:r>
        <w:rPr>
          <w:rFonts w:ascii="Calibri" w:hAnsi="Calibri" w:eastAsia="PingFang SC"/>
        </w:rPr>
        <w:t xml:space="preserve">50 题不随机抽、不按 domain 配额。先标 </w:t>
      </w:r>
      <w:r>
        <w:rPr>
          <w:rFonts w:ascii="Courier New" w:hAnsi="Courier New" w:eastAsia="PingFang SC"/>
          <w:color w:val="6A3E00"/>
          <w:sz w:val="20"/>
        </w:rPr>
        <w:t>Personalization leverage=0/1/2</w:t>
      </w:r>
      <w:r>
        <w:rPr>
          <w:rFonts w:ascii="Calibri" w:hAnsi="Calibri" w:eastAsia="PingFang SC"/>
        </w:rPr>
        <w:t>，再用非表面改变、history 可取证、2–4 dimensions、DR 深度、人口投射与 profile 冲突做硬门。Provisional 15 个官方 ID：</w:t>
      </w:r>
    </w:p>
    <w:p>
      <w:r>
        <w:rPr>
          <w:rFonts w:ascii="Courier New" w:hAnsi="Courier New" w:eastAsia="PingFang SC"/>
          <w:color w:val="6A3E00"/>
          <w:sz w:val="20"/>
        </w:rPr>
        <w:t>1, 4, 5, 6, 9, 10, 11, 16, 21, 22, 30, 33, 35, 39, 49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对应 9 个 domain、76 个官方 bridge pairs；不均匀分布是 screening output。两名人类须盲化复标，A/B pair 另审，禁止依据 agent 结果换题。年龄/性别/职业标签不计 preference node；Finance/Health/Real Estate 需专家安全与可行性复核。</w:t>
      </w:r>
    </w:p>
    <w:p>
      <w:pPr>
        <w:pStyle w:val="Heading1"/>
      </w:pPr>
      <w:r>
        <w:t>10. 排名反转怎样证明</w:t>
      </w:r>
    </w:p>
    <w:p>
      <w:r>
        <w:rPr>
          <w:rFonts w:ascii="Calibri" w:hAnsi="Calibri" w:eastAsia="PingFang SC"/>
        </w:rPr>
        <w:t>同一 DR tasks、agent version、工具、预算和时间窗下，报告：</w:t>
      </w:r>
    </w:p>
    <w:p>
      <w:pPr>
        <w:pStyle w:val="ListBullet"/>
      </w:pPr>
      <w:r>
        <w:rPr>
          <w:rFonts w:ascii="Calibri" w:hAnsi="Calibri" w:eastAsia="PingFang SC"/>
        </w:rPr>
        <w:t>PDR-style profile；</w:t>
      </w:r>
    </w:p>
    <w:p>
      <w:pPr>
        <w:pStyle w:val="ListBullet"/>
      </w:pPr>
      <w:r>
        <w:rPr>
          <w:rFonts w:ascii="Calibri" w:hAnsi="Calibri" w:eastAsia="PingFang SC"/>
        </w:rPr>
        <w:t>Ask profile；</w:t>
      </w:r>
    </w:p>
    <w:p>
      <w:pPr>
        <w:pStyle w:val="ListBullet"/>
      </w:pPr>
      <w:r>
        <w:rPr>
          <w:rFonts w:ascii="Calibri" w:hAnsi="Calibri" w:eastAsia="PingFang SC"/>
        </w:rPr>
        <w:t>Infer profile；</w:t>
      </w:r>
    </w:p>
    <w:p>
      <w:pPr>
        <w:pStyle w:val="ListBullet"/>
      </w:pPr>
      <w:r>
        <w:rPr>
          <w:rFonts w:ascii="Calibri" w:hAnsi="Calibri" w:eastAsia="PingFang SC"/>
        </w:rPr>
        <w:t xml:space="preserve">Kendall </w:t>
      </w:r>
      <w:r>
        <w:rPr>
          <w:rFonts w:ascii="Courier New" w:hAnsi="Courier New" w:eastAsia="PingFang SC"/>
          <w:color w:val="6A3E00"/>
          <w:sz w:val="20"/>
        </w:rPr>
        <w:t>τ</w:t>
      </w:r>
      <w:r>
        <w:rPr>
          <w:rFonts w:ascii="Calibri" w:hAnsi="Calibri" w:eastAsia="PingFang SC"/>
        </w:rPr>
        <w:t xml:space="preserve">、Spearman </w:t>
      </w:r>
      <w:r>
        <w:rPr>
          <w:rFonts w:ascii="Courier New" w:hAnsi="Courier New" w:eastAsia="PingFang SC"/>
          <w:color w:val="6A3E00"/>
          <w:sz w:val="20"/>
        </w:rPr>
        <w:t>ρ</w:t>
      </w:r>
      <w:r>
        <w:rPr>
          <w:rFonts w:ascii="Calibri" w:hAnsi="Calibri" w:eastAsia="PingFang SC"/>
        </w:rPr>
        <w:t>、pairwise inversion、family-cluster bootstrap。</w:t>
      </w:r>
    </w:p>
    <w:p>
      <w:r>
        <w:rPr>
          <w:rFonts w:ascii="Calibri" w:hAnsi="Calibri" w:eastAsia="PingFang SC"/>
        </w:rPr>
        <w:t>公开旧 leaderboard 不能与新运行直接做因果比较。无稳定 inversion 就撤回“排名反转”。</w:t>
      </w:r>
    </w:p>
    <w:p>
      <w:pPr>
        <w:pStyle w:val="Heading1"/>
      </w:pPr>
      <w:r>
        <w:t>11. 最小实验</w:t>
      </w:r>
    </w:p>
    <w:p>
      <w:r>
        <w:rPr>
          <w:rFonts w:ascii="Calibri" w:hAnsi="Calibri" w:eastAsia="PingFang SC"/>
        </w:rPr>
        <w:t xml:space="preserve">Novelty-kill pilot：冻结 PDR-T01、PDR-T30、SW001、SW013、DA003、DA015；每题一个 A/B pair，在 node 层覆盖 high/low/zero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。Codex CLI、Claude Code、Gemini CLI 三个必跑系统共 114 个唯一 episode；OpenHands 条件性加入后为 152。Ask 跑 A0/A1/A2，2 个 DR 题另跑 I1/I3，A0=I0、A2=I2 复用。</w:t>
      </w:r>
    </w:p>
    <w:p>
      <w:r>
        <w:rPr>
          <w:rFonts w:ascii="Calibri" w:hAnsi="Calibri" w:eastAsia="PingFang SC"/>
        </w:rPr>
        <w:t>Pilot 只验证：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是否可复现、问题能否映射 nodes、Ask/Infer/final chain 是否跑通、已有 G-STEER/IDRBench 指标是否已解释全部现象。</w:t>
      </w:r>
      <w:hyperlink r:id="rId24">
        <w:r>
          <w:rPr>
            <w:rFonts w:ascii="Calibri" w:hAnsi="Calibri" w:eastAsia="PingFang SC"/>
            <w:color w:val="2E74B5"/>
            <w:u w:val="single"/>
          </w:rPr>
          <w:t>[3]</w:t>
        </w:r>
      </w:hyperlink>
      <w:hyperlink r:id="rId25">
        <w:r>
          <w:rPr>
            <w:rFonts w:ascii="Calibri" w:hAnsi="Calibri" w:eastAsia="PingFang SC"/>
            <w:color w:val="2E74B5"/>
            <w:u w:val="single"/>
          </w:rPr>
          <w:t>[4]</w:t>
        </w:r>
      </w:hyperlink>
    </w:p>
    <w:p>
      <w:r>
        <w:rPr>
          <w:rFonts w:ascii="Calibri" w:hAnsi="Calibri" w:eastAsia="PingFang SC"/>
        </w:rPr>
        <w:t xml:space="preserve">v0.63 已生成可执行 S0 包：SW001/SW013/DA003/DA015 共 8 个 synthetic A/B user states、4 套 artifact-evidence rubrics、Research/Code/Data 三个 smoke prompts 和打分表。v0.64 首轮实跑中，Codex 为 Research PASS、Code PASS with warning、Data FAIL；Data 漏问 decision horizon。Claude 三题均在模型接收输入前因企业余额不足返回 401，只算基础设施失败。该包仍只用于 question/parser/answer-use/reset 排障；两人验证和真实 repo/data fixture 通过前不计入主表。Gemini CLI </w:t>
      </w:r>
      <w:r>
        <w:rPr>
          <w:rFonts w:ascii="Courier New" w:hAnsi="Courier New" w:eastAsia="PingFang SC"/>
          <w:color w:val="6A3E00"/>
          <w:sz w:val="20"/>
        </w:rPr>
        <w:t>0.46.0</w:t>
      </w:r>
      <w:r>
        <w:rPr>
          <w:rFonts w:ascii="Calibri" w:hAnsi="Calibri" w:eastAsia="PingFang SC"/>
        </w:rPr>
        <w:t xml:space="preserve"> 已安装，OAuth 登录待本人完成。</w:t>
      </w:r>
    </w:p>
    <w:p>
      <w:r>
        <w:rPr>
          <w:rFonts w:ascii="Calibri" w:hAnsi="Calibri" w:eastAsia="PingFang SC"/>
        </w:rPr>
        <w:t>v0.65 单任务 PDR-T30 产品 pilot 已闭环：Full=6.703、No-Ask=5.596、Interactive=6.033，InteractiveGain=+0.438，RecoveryRatio=39.53%。Interactive 主动问了六个 task-relevant 问题，时间、内容方向、长期品牌和 ROI 信号被采用；未恢复部分主要来自未询问 founder/company role、技术资历、既有平台/工具、跨境和合规背景。n=1、full 也可追问且评分走 product-UI transport，因此只作为 Go/No-Go 机制证据，不进入系统榜。</w:t>
      </w:r>
    </w:p>
    <w:p>
      <w:r>
        <w:rPr>
          <w:rFonts w:ascii="Calibri" w:hAnsi="Calibri" w:eastAsia="PingFang SC"/>
        </w:rPr>
        <w:t>v0.66 紧接着跑 PDR-T01 × User1 × 两个产品 agent：相同 instruction-only + free-clarification 输入下，ChatGPT 一轮 15 个 atomic slots 覆盖 7/7 critical clusters，Gemini 0 问，Jaccard=0；盲化三重复 P-score 为 7.057 对 6.065，差 +0.992。优势集中在个性化方向验证、fit-based shortlist 和背景提升，支持 clarification-policy heterogeneity 的 existence proof；产品组件同时变化，因此不作纯提问因果解释或 agent 排名。</w:t>
      </w:r>
    </w:p>
    <w:p>
      <w:r>
        <w:rPr>
          <w:rFonts w:ascii="Calibri" w:hAnsi="Calibri" w:eastAsia="PingFang SC"/>
        </w:rPr>
        <w:t xml:space="preserve">v0.67 把 PDR-T30 的 44 条 criteria 映射为 22 个 preference units。Interactive 六问覆盖 11/22，严格 </w:t>
      </w:r>
      <w:r>
        <w:rPr>
          <w:rFonts w:ascii="Courier New" w:hAnsi="Courier New" w:eastAsia="PingFang SC"/>
          <w:color w:val="6A3E00"/>
          <w:sz w:val="20"/>
        </w:rPr>
        <w:t>Asked→Resolved→Reflected</w:t>
      </w:r>
      <w:r>
        <w:rPr>
          <w:rFonts w:ascii="Calibri" w:hAnsi="Calibri" w:eastAsia="PingFang SC"/>
        </w:rPr>
        <w:t xml:space="preserve"> 为 5/22；Full 起始 known 14/22。Full 五问是 0/5 redundant、5/5 reasonable residual verification，但 persona 未定义目标值，故没有新增 resolved unit。该链条首次区分“问题值得问”“simulator 能回答”“答案真正改变报告”，但目前仍需第二位独立 coder 复标。</w:t>
      </w:r>
    </w:p>
    <w:p>
      <w:r>
        <w:rPr>
          <w:rFonts w:ascii="Calibri" w:hAnsi="Calibri" w:eastAsia="PingFang SC"/>
        </w:rPr>
        <w:t xml:space="preserve">v0.68 的 PDR-T35 × User8 calibration pilot 预冻结 8 个 preference units（high/medium/low 为 3/3/2）后，让两个产品 agent 接收同一 instruction-only + free-clarification 输入。ChatGPT 与 Gemini 都是 0 问，三个 recall 与 weighted coverage 全为 0；37 条原 criteria 的盲化三重复 P-score 为 5.5383 与 5.7033。该差异不是 clarification effect，因为两边都没有 acquisition。结论是共同的 permission-only zero-ask floor，不足以估计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slope；先做小规模 repeat 和产品表面检查，不直接扩 30 题。</w:t>
      </w:r>
    </w:p>
    <w:p>
      <w:r>
        <w:rPr>
          <w:rFonts w:ascii="Calibri" w:hAnsi="Calibri" w:eastAsia="PingFang SC"/>
        </w:rPr>
        <w:t>9 月 14 日过门后，第一轮只扩到 12 个独立基础任务（每域 4 个），作为截稿前 scoped agent-system leaderboard 的候选规模。通过人工 qualification 的 15 个 PDR tasks 加 Coding/Data 各 8 个只构成后续 31 题规划上限。最终样本量由 family-level pilot 方差、资格通过率与成本决定；seed 不能替代 family，也不能看 agent 输出删题。</w:t>
      </w:r>
    </w:p>
    <w:p>
      <w:pPr>
        <w:pStyle w:val="Heading1"/>
      </w:pPr>
      <w:r>
        <w:t>12. 五个 Go / No-Go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 xml:space="preserve">人类能稳定区分 </w:t>
      </w: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>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 xml:space="preserve">至少两个域出现非平凡 agent ×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差异；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Ask 收益不能由额外 token 完全解释；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Infer 能把 recoverable 与 unidentifiable 分开；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新 profile 暴露已有 target coverage / 通用质量解释不了的 failure 或系统重排。</w:t>
      </w:r>
    </w:p>
    <w:p>
      <w:r>
        <w:rPr>
          <w:rFonts w:ascii="Calibri" w:hAnsi="Calibri" w:eastAsia="PingFang SC"/>
        </w:rPr>
        <w:t>任一核心门失败，就收窄为 ask-calibration failure characterization 或透明诊断扩展，不包装成完整新 benchmark。</w:t>
      </w:r>
    </w:p>
    <w:p>
      <w:pPr>
        <w:pStyle w:val="Heading1"/>
      </w:pPr>
      <w:r>
        <w:t>13. 导师需要拍板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是否接受 Ask 三域、Infer 只做 DR 的不对称范围？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主分析是否只用 0/low/high 序数等级，连续量只作次级？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是否接受 PDR task/persona 只作 bridge，而不直接当 Ask gold？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先执行 114-episode 三系统 novelty-kill pilot，还是在三域 smoke 不过时立即收窄系统或任务范围？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排名反转若不成立，是否接受论文改为 Ask Calibration 主线？</w:t>
      </w:r>
    </w:p>
    <w:p>
      <w:pPr>
        <w:pStyle w:val="Heading1"/>
      </w:pPr>
      <w:r>
        <w:t>参考文献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[1] Liang et al. </w:t>
      </w:r>
      <w:r>
        <w:rPr>
          <w:rFonts w:ascii="Calibri" w:hAnsi="Calibri" w:eastAsia="PingFang SC"/>
          <w:i/>
          <w:sz w:val="14"/>
        </w:rPr>
        <w:t>Towards Personalized Deep Research: Benchmarks and Evaluations</w:t>
      </w:r>
      <w:r>
        <w:rPr>
          <w:rFonts w:ascii="Calibri" w:hAnsi="Calibri" w:eastAsia="PingFang SC"/>
          <w:sz w:val="14"/>
        </w:rPr>
        <w:t xml:space="preserve">. </w:t>
      </w:r>
      <w:hyperlink r:id="rId22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https://arxiv.org/abs/2509.25106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[2] OPPO-PersonalAI. </w:t>
      </w:r>
      <w:r>
        <w:rPr>
          <w:rFonts w:ascii="Calibri" w:hAnsi="Calibri" w:eastAsia="PingFang SC"/>
          <w:i/>
          <w:sz w:val="14"/>
        </w:rPr>
        <w:t>PersonalizedDeepResearchBench official repository</w:t>
      </w:r>
      <w:r>
        <w:rPr>
          <w:rFonts w:ascii="Calibri" w:hAnsi="Calibri" w:eastAsia="PingFang SC"/>
          <w:sz w:val="14"/>
        </w:rPr>
        <w:t xml:space="preserve">. </w:t>
      </w:r>
      <w:hyperlink r:id="rId23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https://github.com/OPPO-PersonalAI/PersonalizedDeepResearchBench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[3] Yoon and Lee. </w:t>
      </w:r>
      <w:r>
        <w:rPr>
          <w:rFonts w:ascii="Calibri" w:hAnsi="Calibri" w:eastAsia="PingFang SC"/>
          <w:i/>
          <w:sz w:val="14"/>
        </w:rPr>
        <w:t>Personalized Deep Research Query Refinement with Graph-Scaffolded Evidence Grounding</w:t>
      </w:r>
      <w:r>
        <w:rPr>
          <w:rFonts w:ascii="Calibri" w:hAnsi="Calibri" w:eastAsia="PingFang SC"/>
          <w:sz w:val="14"/>
        </w:rPr>
        <w:t xml:space="preserve">. </w:t>
      </w:r>
      <w:hyperlink r:id="rId24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https://arxiv.org/abs/2608.05876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[4] Feng et al. </w:t>
      </w:r>
      <w:r>
        <w:rPr>
          <w:rFonts w:ascii="Calibri" w:hAnsi="Calibri" w:eastAsia="PingFang SC"/>
          <w:i/>
          <w:sz w:val="14"/>
        </w:rPr>
        <w:t>IDRBench: Interactive Deep Research Benchmark</w:t>
      </w:r>
      <w:r>
        <w:rPr>
          <w:rFonts w:ascii="Calibri" w:hAnsi="Calibri" w:eastAsia="PingFang SC"/>
          <w:sz w:val="14"/>
        </w:rPr>
        <w:t xml:space="preserve">. </w:t>
      </w:r>
      <w:hyperlink r:id="rId25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https://arxiv.org/abs/2601.06676</w:t>
        </w:r>
      </w:hyperlink>
    </w:p>
    <w:sectPr w:rsidR="00FC693F" w:rsidRPr="0006063C" w:rsidSect="00034616">
      <w:headerReference w:type="default" r:id="rId18"/>
      <w:footerReference w:type="default" r:id="rId19"/>
      <w:headerReference w:type="even" r:id="rId20"/>
      <w:footerReference w:type="even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2026-9-8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2026-9-8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2026-9-8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2026-9-8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2026-9-8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2026-9-8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52" w:lineRule="auto"/>
      <w:jc w:val="left"/>
    </w:pPr>
    <w:rPr>
      <w:rFonts w:ascii="Calibri" w:hAnsi="Calibri" w:eastAsia="PingFang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540" w:hanging="279"/>
      <w:contextualSpacing/>
    </w:pPr>
    <w:rPr>
      <w:rFonts w:ascii="Calibri" w:hAnsi="Calibri" w:eastAsia="PingFang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540" w:hanging="279"/>
      <w:contextualSpacing/>
    </w:pPr>
    <w:rPr>
      <w:rFonts w:ascii="Calibri" w:hAnsi="Calibri" w:eastAsia="PingFang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image" Target="media/image1.png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header" Target="header6.xml"/><Relationship Id="rId21" Type="http://schemas.openxmlformats.org/officeDocument/2006/relationships/footer" Target="footer6.xml"/><Relationship Id="rId22" Type="http://schemas.openxmlformats.org/officeDocument/2006/relationships/hyperlink" Target="https://arxiv.org/abs/2509.25106" TargetMode="External"/><Relationship Id="rId23" Type="http://schemas.openxmlformats.org/officeDocument/2006/relationships/hyperlink" Target="https://github.com/OPPO-PersonalAI/PersonalizedDeepResearchBench" TargetMode="External"/><Relationship Id="rId24" Type="http://schemas.openxmlformats.org/officeDocument/2006/relationships/hyperlink" Target="https://arxiv.org/abs/2608.05876" TargetMode="External"/><Relationship Id="rId25" Type="http://schemas.openxmlformats.org/officeDocument/2006/relationships/hyperlink" Target="https://arxiv.org/abs/2601.066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