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Task-Specific Personalization under User Availability and History Evidence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v0.68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Final Utilization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用户在线时问 high-δ preference；用户离线时只从 history evidence 推断；PDR 排名能否外推是待检验问题。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用户经常不给完整 specification。用户在线时，agent 应以少量问题获取真正改变交付物的偏好；用户离线时，agent 只能从授权 history 推断，并对没有证据的偏好保持克制。PDR-Bench 已评价 task + full persona 条件下的 personalized Deep Research；G-STEER、IDRBench、IntentRL 和 DiscoBench 已覆盖 clarification、interaction cost 与 query refinement。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因此本项目不以“首次提问”作为贡献，而评价 agent 是否把问题预算放在会改变最终交付物的 task-specific preference 上，并检验 full-persona 排名能否代表 Ask 与 Infer 能力。</w:t>
      </w:r>
    </w:p>
    <w:p>
      <w:r>
        <w:rPr>
          <w:rFonts w:ascii="Calibri" w:hAnsi="Calibri" w:eastAsia="PingFang SC"/>
        </w:rPr>
        <w:t xml:space="preserve">Ask 轨覆盖 Research、Coding 和 Data Analysis；Infer 轨只做 Deep Research。每个基础任务固定环境、工具、预算和一个主要交付物，并构造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的用户差异。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在运行前由用户、专家和两名独立验证者按 deliverable impact 冻结。过程层评价 High-δ Recall、Question Precision、Low/Zero-δ Question Rate、停止错误和 burden；最终层用 matched/swapped 2×2 矩阵、CFA、绝对合格、相对 No-Ask/Task-Only 增益、共同质量 no-harm 和 boundary no-violation 分栏评价。CFA 不承担提问校准，也不与其他维度合成总分。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操纵进入 Ask / Infer 双轨；过程指标与跨用户 final-deliverable 评价不可互相补偿。</w:t>
      </w:r>
    </w:p>
    <w:p>
      <w:pPr>
        <w:sectPr>
          <w:headerReference w:type="default" r:id="rId16"/>
          <w:footerReference w:type="default" r:id="rId17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核心问题与主张边界</w:t>
      </w:r>
    </w:p>
    <w:p>
      <w:r>
        <w:rPr>
          <w:rFonts w:ascii="Calibri" w:hAnsi="Calibri" w:eastAsia="PingFang SC"/>
          <w:b/>
        </w:rPr>
        <w:t>RQ1 Ask。</w:t>
      </w:r>
      <w:r>
        <w:rPr>
          <w:rFonts w:ascii="Calibri" w:hAnsi="Calibri" w:eastAsia="PingFang SC"/>
        </w:rPr>
        <w:t xml:space="preserve"> 裁减 history、用户可回答时，agent 能否主动获取 missing preferences 并把答案落实到交付物？</w:t>
      </w:r>
    </w:p>
    <w:p>
      <w:r>
        <w:rPr>
          <w:rFonts w:ascii="Calibri" w:hAnsi="Calibri" w:eastAsia="PingFang SC"/>
          <w:b/>
        </w:rPr>
        <w:t>RQ2 Calibration。</w:t>
      </w:r>
      <w:r>
        <w:rPr>
          <w:rFonts w:ascii="Calibri" w:hAnsi="Calibri" w:eastAsia="PingFang SC"/>
        </w:rPr>
        <w:t xml:space="preserve"> 提问概率和优先级是否随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增加？“所有域都问差不多、偏问低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”是待检验零假设，不是预写结果。</w:t>
      </w:r>
    </w:p>
    <w:p>
      <w:r>
        <w:rPr>
          <w:rFonts w:ascii="Calibri" w:hAnsi="Calibri" w:eastAsia="PingFang SC"/>
          <w:b/>
        </w:rPr>
        <w:t>RQ3 Infer。</w:t>
      </w:r>
      <w:r>
        <w:rPr>
          <w:rFonts w:ascii="Calibri" w:hAnsi="Calibri" w:eastAsia="PingFang SC"/>
        </w:rPr>
        <w:t xml:space="preserve"> 用户离线时，agent 能否利用 history-evidenced preferences，同时避免对 unidentifiable 或 irrelevant cues 的投射？</w:t>
      </w:r>
    </w:p>
    <w:p>
      <w:r>
        <w:rPr>
          <w:rFonts w:ascii="Calibri" w:hAnsi="Calibri" w:eastAsia="PingFang SC"/>
          <w:b/>
        </w:rPr>
        <w:t>RQ4 Ranking。</w:t>
      </w:r>
      <w:r>
        <w:rPr>
          <w:rFonts w:ascii="Calibri" w:hAnsi="Calibri" w:eastAsia="PingFang SC"/>
        </w:rPr>
        <w:t xml:space="preserve"> 同一组 Deep Research agent 在 PDR-style full persona、Ask 和 Infer 条件下是否稳定重排？</w:t>
      </w:r>
    </w:p>
    <w:p>
      <w:r>
        <w:rPr>
          <w:rFonts w:ascii="Calibri" w:hAnsi="Calibri" w:eastAsia="PingFang SC"/>
        </w:rPr>
        <w:t>PDR-Bench 不是“implicit elicitation”：它给 agent structured persona，测 full-context personalization / preference projection。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本项目的 Ask 主条件不能直接给完整 persona；Infer 也不能把 PDR simulated context 冒充真实 history。</w:t>
      </w:r>
    </w:p>
    <w:p>
      <w:pPr>
        <w:pStyle w:val="Heading1"/>
      </w:pPr>
      <w:r>
        <w:t>2. 数据与 `δ`</w:t>
      </w:r>
    </w:p>
    <w:p>
      <w:r>
        <w:rPr>
          <w:rFonts w:ascii="Calibri" w:hAnsi="Calibri" w:eastAsia="PingFang SC"/>
        </w:rPr>
        <w:t>一个基础任务固定 task、evidence/repository/dataset、工具、预算和唯一主要交付物。每个 task family 构造三种用户差异：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：不应改变内容决策，用于检测过问和过度个性化；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：改变非关键但有用户确认效用的实现、排序或解释；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set、算法/接口、分析定义、主要切片、结论或关键风险边界。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是运行前的序数 impact label，不是 agent 输出后的分差。每条 preference node 必须绑定具体 deliverable decision、history evidence span、criticality、acceptable alternatives 和 must-change/must-hold/must-not。LLM 可以按 schema 生成 code/data 候选与 atomic rubric leaves；人类用户提供 ground truth，两名验证者独立确认。分歧无法仲裁时剔除，不以平均掩盖。</w:t>
      </w:r>
    </w:p>
    <w:p>
      <w:r>
        <w:rPr>
          <w:rFonts w:ascii="Calibri" w:hAnsi="Calibri" w:eastAsia="PingFang SC"/>
        </w:rPr>
        <w:t xml:space="preserve">v0.63 已把候选实例化为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>：4 个 Code/Data task、8 个 A/B user states、4 套 100 分 rubric 与三域 S0 prompts。该包只用于 interaction/parser/reset 排障；真实 repo/data 未绑定前不是 artifact smoke，双人确认前不是 gold。细 rubric 的 2 分要求代码、测试、计算、阈值、停止规则、行动排序或 matched/swapped diff；只写“考虑了 X”最多 1 分。</w:t>
      </w:r>
    </w:p>
    <w:p>
      <w:r>
        <w:rPr>
          <w:rFonts w:ascii="Calibri" w:hAnsi="Calibri" w:eastAsia="PingFang SC"/>
        </w:rPr>
        <w:t>v0.64 首轮 live S0 中，Codex 三题得到 Research PASS、Code PASS with warning、Data FAIL：失败来自遗漏 decision horizon，说明“问到部分 high-δ”不能替代完整 specification recovery。Claude 三题均在模型接收输入前因企业账户余额不足返回 HTTP 401、token 为 0，只记鉴权基础设施失败，不计 agent 能力分。该结果只用于修 harness 与指标，不形成排行榜结论。</w:t>
      </w:r>
    </w:p>
    <w:p>
      <w:r>
        <w:rPr>
          <w:rFonts w:ascii="Calibri" w:hAnsi="Calibri" w:eastAsia="PingFang SC"/>
        </w:rPr>
        <w:t>v0.65 的单任务 PDR-T30 × User12 × ChatGPT Deep Research pilot 已跑通三条件和原始 PDR 44 条 criteria 的盲化三重复评分：Full=6.703、No-Ask=5.596、Interactive=6.033，InteractiveGain=+0.438，RecoveryRatio=39.53%。Interactive 问了六个 task-relevant 问题，恢复了时间安排、AI/创业方向、长期品牌目标和 ROI 偏好，但未问 founder/company role、技术资历、既有平台/工具、跨境和合规信息。该 n=1 product-UI 结果只验证 signal 与失败链；full 也获准追问，评分 transport 不是官方 API，因此不进入确认性主表。</w:t>
      </w:r>
    </w:p>
    <w:p>
      <w:r>
        <w:rPr>
          <w:rFonts w:ascii="Calibri" w:hAnsi="Calibri" w:eastAsia="PingFang SC"/>
        </w:rPr>
        <w:t>v0.66 的 PDR-T01 × User1 双 agent pilot 固定同一 instruction-only + free-clarification 输入。ChatGPT 用一轮 15 个 atomic slots 覆盖 7/7 个预冻结 critical preference clusters，Gemini 没有提问，asked-cluster Jaccard=0；原始 34 条 PDR criteria 的盲化三重复 P-score 为 7.057 与 6.065，差值 +0.992。最大优势集中在个性化方向验证、fit-based shortlist 和可衡量背景提升，而 Gemini 在通用地区比较表和就业信息上更强。该结果证明 agent system 可以采用不同 clarification policy，但产品组件同时变化，不能把分差单独归因于提问或写成排行榜。</w:t>
      </w:r>
    </w:p>
    <w:p>
      <w:r>
        <w:rPr>
          <w:rFonts w:ascii="Calibri" w:hAnsi="Calibri" w:eastAsia="PingFang SC"/>
        </w:rPr>
        <w:t xml:space="preserve">v0.67 将 PDR-T30 的 44 条 criteria 映射为 22 个 atomic preference units，并编码 </w:t>
      </w:r>
      <w:r>
        <w:rPr>
          <w:rFonts w:ascii="Courier New" w:hAnsi="Courier New" w:eastAsia="PingFang SC"/>
          <w:color w:val="6A3E00"/>
          <w:sz w:val="20"/>
        </w:rPr>
        <w:t>known/asked/resolved/reflected</w:t>
      </w:r>
      <w:r>
        <w:rPr>
          <w:rFonts w:ascii="Calibri" w:hAnsi="Calibri" w:eastAsia="PingFang SC"/>
        </w:rPr>
        <w:t xml:space="preserve">。Interactive 六问覆盖 11/22，严格完成全链 5/22；Full 首轮前已知 14/22。Full 五问全部针对 persona 未说明的 residual values，故 0/5 redundant、5/5 reasonable verification；没有新增 resolved unit 是 persona under-specification，不是 over-asking。该单-coder 诊断尚需独立复标，rubric-influence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不作因果解释。</w:t>
      </w:r>
    </w:p>
    <w:p>
      <w:r>
        <w:rPr>
          <w:rFonts w:ascii="Calibri" w:hAnsi="Calibri" w:eastAsia="PingFang SC"/>
        </w:rPr>
        <w:t>v0.68 的 PDR-T35 × User8 “Ask What Matters” pilot 在运行前冻结 8 个 preference units（3 high、3 medium、2 low，权重 17），让 ChatGPT research-capable 配置和 Gemini Deep Research 接收完全相同的 instruction-only + free-clarification 输入。两边均为 0 个 task-specific question，各档 recall 与 weighted coverage 全为 0；37 条原 criteria 的盲化三重复均值为 5.5383 与 5.7033。分差不能归因于 clarification，因为两边都没有 acquisition。该结果只识别 permission-only zero-ask floor，下一步先做小规模 repeats 与产品提问表面复验，不直接扩 30 题。</w:t>
      </w:r>
    </w:p>
    <w:p>
      <w:r>
        <w:rPr>
          <w:rFonts w:ascii="Calibri" w:hAnsi="Calibri" w:eastAsia="PingFang SC"/>
        </w:rPr>
        <w:t>History 中的 nodes 另标记为：</w:t>
      </w: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。Ask 主测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>；Infer 主测 recoverable 利用与 unidentifiable/irrelevant 克制。</w:t>
      </w:r>
    </w:p>
    <w:p>
      <w:pPr>
        <w:pStyle w:val="Heading1"/>
      </w:pPr>
      <w:r>
        <w:t>3. 实验条件</w:t>
      </w:r>
    </w:p>
    <w:p>
      <w:pPr>
        <w:pStyle w:val="Heading2"/>
      </w:pPr>
      <w:r>
        <w:t>3.1 Ask：三个 vertical</w:t>
      </w:r>
    </w:p>
    <w:p>
      <w:pPr>
        <w:pStyle w:val="ListBullet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history，关闭用户通道；</w:t>
      </w:r>
    </w:p>
    <w:p>
      <w:pPr>
        <w:pStyle w:val="ListBullet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 history，用户可回答，固定 question/turn/token budget；</w:t>
      </w:r>
    </w:p>
    <w:p>
      <w:pPr>
        <w:pStyle w:val="ListBullet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 task-relevant nodes。</w:t>
      </w:r>
    </w:p>
    <w:p>
      <w:r>
        <w:rPr>
          <w:rFonts w:ascii="Calibri" w:hAnsi="Calibri" w:eastAsia="PingFang SC"/>
        </w:rPr>
        <w:t>主 prompt 不提醒个性化或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 Nudge 只诊断“不会自主触发”与“被提醒后仍不会问”的区别。</w:t>
      </w:r>
    </w:p>
    <w:p>
      <w:pPr>
        <w:pStyle w:val="Heading2"/>
      </w:pPr>
      <w:r>
        <w:t>3.2 Infer：Deep Research only</w:t>
      </w:r>
    </w:p>
    <w:p>
      <w:pPr>
        <w:pStyle w:val="ListBullet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：同一授权 history，禁止提问；</w:t>
      </w:r>
    </w:p>
    <w:p>
      <w:pPr>
        <w:pStyle w:val="ListBullet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：只在 PDR overlap slice 使用。</w:t>
      </w:r>
    </w:p>
    <w:p>
      <w:r>
        <w:rPr>
          <w:rFonts w:ascii="Calibri" w:hAnsi="Calibri" w:eastAsia="PingFang SC"/>
        </w:rPr>
        <w:t>Infer 不要求猜中 history 中不存在的偏好。正确策略可以保守默认、显式分支或声明不确定性；unsupported projection 是独立 boundary failure。</w:t>
      </w:r>
    </w:p>
    <w:p>
      <w:pPr>
        <w:pStyle w:val="Heading2"/>
      </w:pPr>
      <w:r>
        <w:t>3.3 PDR 资源复用</w:t>
      </w:r>
    </w:p>
    <w:p>
      <w:r>
        <w:rPr>
          <w:rFonts w:ascii="Calibri" w:hAnsi="Calibri" w:eastAsia="PingFang SC"/>
        </w:rPr>
        <w:t xml:space="preserve">PDR 的 50 题先全部按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 xml:space="preserve"> 标注，不随机抽样，也不按 domain 配额。leverage=2 只表示用户差异应改变内容、约束、证据或结论；进入主 slice 还必须通过非表面改变、history 可取证、2–4 个可验证 dimensions、真实 DR 需求、人口/关键词投射和 task–profile 冲突门。</w:t>
      </w:r>
    </w:p>
    <w:p>
      <w:r>
        <w:rPr>
          <w:rFonts w:ascii="Calibri" w:hAnsi="Calibri" w:eastAsia="PingFang SC"/>
        </w:rPr>
        <w:t xml:space="preserve">当前 provisional 15 题为 </w:t>
      </w:r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 xml:space="preserve">，覆盖 Education 3、Career 3、Health 1、Travel 1、Finance 2、Creative 1、Shopping 2、Real Estate 1、Parenting 1；分布是结果，不是配额。官方映射在这 15 题上共有 76 个 bridge pair，因为公开 task 10 有 6 位用户。完整 50 题表与规则位于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PDR tasks 可作 DR source shell，structured persona 可作 bridge 条件；但这 15 题仍须双人盲化复标，A/B pair 另行选择，并重新冻结 task-conditioned nodes、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、自然 history evidence、matched/swapped 和 human rubric。年龄/性别/职业标签不计作 preference node，儿童状态须有行为或照护证据；Finance/Health/Real Estate 须经专家安全与可行性复核。官方 persona 不能直接进入 Ask 主条件，simulated context 不能称为自然 history；禁止根据 agent 输出替换任务。</w:t>
      </w:r>
    </w:p>
    <w:p>
      <w:pPr>
        <w:pStyle w:val="Heading1"/>
      </w:pPr>
      <w:r>
        <w:t>4. 过程与最终指标</w:t>
      </w:r>
    </w:p>
    <w:p>
      <w:pPr>
        <w:pStyle w:val="Heading2"/>
      </w:pPr>
      <w:r>
        <w:t>4.1 Ask Calibration</w:t>
      </w:r>
    </w:p>
    <w:p>
      <w:r>
        <w:rPr>
          <w:rFonts w:ascii="Calibri" w:hAnsi="Calibri" w:eastAsia="PingFang SC"/>
        </w:rPr>
        <w:t xml:space="preserve">主过程 profile：High-δ Recall@B、Question Precision@B、Low/Zero-δ Question Rate、First-Critical Rank、Stopping Error、User Burden，以及 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主校准模型：</w:t>
      </w:r>
    </w:p>
    <w:p>
      <w:r>
        <w:rPr>
          <w:rFonts w:ascii="Courier New" w:hAnsi="Courier New" w:eastAsia="PingFang SC"/>
          <w:color w:val="6A3E00"/>
          <w:sz w:val="20"/>
        </w:rPr>
        <w:t>logit P(Asked_fka=1) = α_a + β_a·δ_fk + controls + u_family</w:t>
      </w:r>
    </w:p>
    <w:p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测提问是否随 deliverable impact 增加。Node、question、turn 都不当独立样本；推断按基础任务聚类。</w:t>
      </w:r>
    </w:p>
    <w:p>
      <w:pPr>
        <w:pStyle w:val="Heading2"/>
      </w:pPr>
      <w:r>
        <w:t>4.2 Final deliverable 与 CFA</w:t>
      </w:r>
    </w:p>
    <w:p>
      <w:r>
        <w:rPr>
          <w:rFonts w:ascii="Calibri" w:hAnsi="Calibri" w:eastAsia="PingFang SC"/>
        </w:rPr>
        <w:t xml:space="preserve">用户 A/B 的冻结评分函数交叉评价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>：</w:t>
      </w:r>
    </w:p>
    <w:p>
      <w:r>
        <w:rPr>
          <w:rFonts w:ascii="Courier New" w:hAnsi="Courier New" w:eastAsia="PingFang SC"/>
          <w:color w:val="6A3E00"/>
          <w:sz w:val="20"/>
        </w:rPr>
        <w:t>Δ_A = PF_A(Y_A)-PF_A(Y_B)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只表示 final artifact 的跨用户特异性。确认性成功还必须通过 matched absolute adequacy、Ask vs No-Ask 或 Infer vs Task-Only gain、shared quality/functionality no-harm、privacy/permission/unsupported-projection boundary 和目标用户盲化选择。维度不合成总分。</w:t>
      </w:r>
    </w:p>
    <w:p>
      <w:pPr>
        <w:pStyle w:val="Heading1"/>
      </w:pPr>
      <w:r>
        <w:t>5. 排名反转</w:t>
      </w:r>
    </w:p>
    <w:p>
      <w:r>
        <w:rPr>
          <w:rFonts w:ascii="Calibri" w:hAnsi="Calibri" w:eastAsia="PingFang SC"/>
        </w:rPr>
        <w:t xml:space="preserve">共享 DR slice 对同一 agent 版本、工具、预算和时间窗计算 PDR-style、Ask 和 Infer profile。报告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与 family-cluster bootstrap。只有稳定 inversion 才能说能力排名重排；公开旧 leaderboard 与新运行不能直接比较。</w:t>
      </w:r>
    </w:p>
    <w:p>
      <w:r>
        <w:rPr>
          <w:rFonts w:ascii="Calibri" w:hAnsi="Calibri" w:eastAsia="PingFang SC"/>
        </w:rPr>
        <w:t xml:space="preserve">若排序一致，仍可报告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校准和 acquisition-to-use failure，但不能声称 PDR 排名误导。若差异由 token、长度、provider、搜索深度或 judge 解释，按混杂降级。</w:t>
      </w:r>
    </w:p>
    <w:p>
      <w:pPr>
        <w:pStyle w:val="Heading1"/>
      </w:pPr>
      <w:r>
        <w:t>6. 最小实验与统计</w:t>
      </w:r>
    </w:p>
    <w:p>
      <w:r>
        <w:rPr>
          <w:rFonts w:ascii="Calibri" w:hAnsi="Calibri" w:eastAsia="PingFang SC"/>
        </w:rPr>
        <w:t xml:space="preserve">Novelty-kill pilot 冻结 PDR-T01、PDR-T30、SW001、SW013、DA003、DA015。每题一个 A/B 用户对，在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；Ask 跑 A0/A1/A2，两个 DR 题另跑 I1 history 与 I3 Full-Persona bridge，A0=I0、A2=I2 精确复用。Codex CLI、Claude Code、Gemini CLI 三个必跑系统共 114 个唯一 episode；条件性加入 OpenHands 后为 152。matched block 在 2–6 小时内随机顺序完成，整批目标 48–72 小时并重跑 5%–10% anchors。该规模只验证操纵、日志、rubric 和近邻增量。</w:t>
      </w:r>
    </w:p>
    <w:p>
      <w:r>
        <w:rPr>
          <w:rFonts w:ascii="Calibri" w:hAnsi="Calibri" w:eastAsia="PingFang SC"/>
        </w:rPr>
        <w:t>9 月 14 日过门后，第一轮只扩到 12 个独立基础任务（Deep Research、Coding、Data 各 4 个），作为截止期内 scoped agent-system leaderboard 的候选规模。通过人工 qualification 的 15 个 PDR task 加 Coding/Data 各 8 个只构成后续 31 题规划上限，不是两周承诺。最终规模由 pilot family-level 方差、资格通过率、成本与最小实际重要差异做功效模拟后冻结，不得看 agent 输出删题。统计单位是基础任务，不是 user、pair、seed、turn 或 leaf。</w:t>
      </w:r>
    </w:p>
    <w:p>
      <w:pPr>
        <w:pStyle w:val="Heading1"/>
      </w:pPr>
      <w:r>
        <w:t>7. 最强风险与停止条件</w:t>
      </w:r>
    </w:p>
    <w:p>
      <w:pPr>
        <w:pStyle w:val="ListBullet"/>
      </w:pPr>
      <w:r>
        <w:rPr>
          <w:rFonts w:ascii="Calibri" w:hAnsi="Calibri" w:eastAsia="PingFang SC"/>
          <w:b/>
        </w:rPr>
        <w:t>G-STEER/IDRBench 的跨域扩展。</w:t>
      </w:r>
      <w:r>
        <w:rPr>
          <w:rFonts w:ascii="Calibri" w:hAnsi="Calibri" w:eastAsia="PingFang SC"/>
        </w:rPr>
        <w:t xml:space="preserve"> 若已有 target coverage、question cost 和通用质量完全预测新 profile，贡献不足。</w:t>
      </w:r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LLM 造 persona/rubric 循环。</w:t>
      </w:r>
      <w:r>
        <w:rPr>
          <w:rFonts w:ascii="Calibri" w:hAnsi="Calibri" w:eastAsia="PingFang SC"/>
        </w:rPr>
        <w:t xml:space="preserve"> Human-authored critical nodes 优先，compiler-only inference 确认性权重为 0。</w:t>
      </w:r>
    </w:p>
    <w:p>
      <w:pPr>
        <w:pStyle w:val="ListBullet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recoverable/unidentifiable/irrelevant 分开，加入 cue deletion、demographic swap 和 wrong-history controls；同一 persona 的不同 cues 已知会改变模型结果。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[8]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多问获得更多算力。</w:t>
      </w:r>
      <w:r>
        <w:rPr>
          <w:rFonts w:ascii="Calibri" w:hAnsi="Calibri" w:eastAsia="PingFang SC"/>
        </w:rPr>
        <w:t xml:space="preserve"> 执行预算和交互预算分开冻结，报告 burden 与 quality-cost frontier。</w:t>
      </w:r>
    </w:p>
    <w:p>
      <w:pPr>
        <w:pStyle w:val="ListBullet"/>
      </w:pPr>
      <w:r>
        <w:rPr>
          <w:rFonts w:ascii="Calibri" w:hAnsi="Calibri" w:eastAsia="PingFang SC"/>
          <w:b/>
        </w:rPr>
        <w:t>模拟器效度。</w:t>
      </w:r>
      <w:r>
        <w:rPr>
          <w:rFonts w:ascii="Calibri" w:hAnsi="Calibri" w:eastAsia="PingFang SC"/>
        </w:rPr>
        <w:t xml:space="preserve"> 正式结论需真人对话子集；模拟器排序若与真人不稳定，主榜降级。</w:t>
      </w:r>
    </w:p>
    <w:p>
      <w:pPr>
        <w:pStyle w:val="ListBullet"/>
      </w:pPr>
      <w:r>
        <w:rPr>
          <w:rFonts w:ascii="Calibri" w:hAnsi="Calibri" w:eastAsia="PingFang SC"/>
          <w:b/>
        </w:rPr>
        <w:t>`δ` 不可靠。</w:t>
      </w:r>
      <w:r>
        <w:rPr>
          <w:rFonts w:ascii="Calibri" w:hAnsi="Calibri" w:eastAsia="PingFang SC"/>
        </w:rPr>
        <w:t xml:space="preserve"> 若盲化验证者不能稳定区分 0/low/high，停止 ask-calibration 主张。</w:t>
      </w:r>
    </w:p>
    <w:p>
      <w:pPr>
        <w:pStyle w:val="ListBullet"/>
      </w:pPr>
      <w:r>
        <w:rPr>
          <w:rFonts w:ascii="Calibri" w:hAnsi="Calibri" w:eastAsia="PingFang SC"/>
          <w:b/>
        </w:rPr>
        <w:t>无系统重分类。</w:t>
      </w:r>
      <w:r>
        <w:rPr>
          <w:rFonts w:ascii="Calibri" w:hAnsi="Calibri" w:eastAsia="PingFang SC"/>
        </w:rPr>
        <w:t xml:space="preserve"> 若新 profile 不改变任何经验结论或真人预测，降级为透明诊断扩展。</w:t>
      </w:r>
    </w:p>
    <w:p>
      <w:pPr>
        <w:pStyle w:val="Heading1"/>
      </w:pPr>
      <w:r>
        <w:t>8. 候选贡献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Ask/Infer 双情境下的 task-specific personalization evaluation；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同任务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操纵与有限问题预算的 Ask Calibration；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真人提供关键 decision nodes、LLM 受约束补充 rubric 的 provenance-aware ground truth；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acquisition、inference、final utilization 的不可补偿分解；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在同窗 DR slice 上检验 PDR-style full-persona 排名是否可外推，而不预设反转。</w:t>
      </w:r>
    </w:p>
    <w:p>
      <w:r>
        <w:rPr>
          <w:rFonts w:ascii="Calibri" w:hAnsi="Calibri" w:eastAsia="PingFang SC"/>
        </w:rPr>
        <w:t>允许声称可观察行为和交付物差异；不能声称模型内部真正理解用户、首次研究澄清、任何 history 都可推断偏好，或排名必然反转。</w:t>
      </w:r>
    </w:p>
    <w:p>
      <w:pPr>
        <w:sectPr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https://arxiv.org/abs/2602.03468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https://arxiv.org/abs/2606.27669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yperlink" Target="https://arxiv.org/abs/2608.05876" TargetMode="External"/><Relationship Id="rId13" Type="http://schemas.openxmlformats.org/officeDocument/2006/relationships/hyperlink" Target="https://arxiv.org/abs/2601.06676" TargetMode="External"/><Relationship Id="rId14" Type="http://schemas.openxmlformats.org/officeDocument/2006/relationships/hyperlink" Target="https://arxiv.org/abs/2602.03468" TargetMode="External"/><Relationship Id="rId15" Type="http://schemas.openxmlformats.org/officeDocument/2006/relationships/hyperlink" Target="https://arxiv.org/abs/2606.27669" TargetMode="External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.png"/><Relationship Id="rId19" Type="http://schemas.openxmlformats.org/officeDocument/2006/relationships/header" Target="header3.xml"/><Relationship Id="rId20" Type="http://schemas.openxmlformats.org/officeDocument/2006/relationships/footer" Target="footer3.xml"/><Relationship Id="rId21" Type="http://schemas.openxmlformats.org/officeDocument/2006/relationships/hyperlink" Target="https://github.com/OPPO-PersonalAI/PersonalizedDeepResearchBench" TargetMode="External"/><Relationship Id="rId22" Type="http://schemas.openxmlformats.org/officeDocument/2006/relationships/hyperlink" Target="https://aclanthology.org/2026.acl-long.2079/" TargetMode="External"/><Relationship Id="rId23" Type="http://schemas.openxmlformats.org/officeDocument/2006/relationships/hyperlink" Target="https://aclanthology.org/2026.acl-long.7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