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CONDENSED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Task-Specific Personalization under User Availability and History Evidence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正式论文 Proposal 精简版 · 不超过 10 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v0.66 · 正式精简版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6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Ask Calibration · Evidence-Bounded Inference · Final Utilization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用户在线时问 high-δ preference；用户离线时只从 history evidence 推断；PDR 排名能否外推是待检验问题。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用户经常不给完整 specification。用户在线时，agent 应以少量问题获取真正改变交付物的偏好；用户离线时，agent 只能从授权 history 推断，并对没有证据的偏好保持克制。PDR-Bench 已评价 task + full persona 条件下的 personalized Deep Research；G-STEER、IDRBench、IntentRL 和 DiscoBench 已覆盖 clarification、interaction cost 与 query refinement。</w:t>
      </w:r>
      <w:hyperlink r:id="rId11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2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3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4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15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r>
        <w:rPr>
          <w:rFonts w:ascii="Calibri" w:hAnsi="Calibri" w:eastAsia="PingFang SC"/>
        </w:rPr>
        <w:t xml:space="preserve"> 因此本项目不以“首次提问”作为贡献，而评价 agent 是否把问题预算放在会改变最终交付物的 task-specific preference 上，并检验 full-persona 排名能否代表 Ask 与 Infer 能力。</w:t>
      </w:r>
    </w:p>
    <w:p>
      <w:r>
        <w:rPr>
          <w:rFonts w:ascii="Calibri" w:hAnsi="Calibri" w:eastAsia="PingFang SC"/>
        </w:rPr>
        <w:t xml:space="preserve">Ask 轨覆盖 Research、Coding 和 Data Analysis；Infer 轨只做 Deep Research。每个基础任务固定环境、工具、预算和一个主要交付物，并构造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的用户差异。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在运行前由用户、专家和两名独立验证者按 deliverable impact 冻结。过程层评价 High-δ Recall、Question Precision、Low/Zero-δ Question Rate、停止错误和 burden；最终层用 matched/swapped 2×2 矩阵、CFA、绝对合格、相对 No-Ask/Task-Only 增益、共同质量 no-harm 和 boundary no-violation 分栏评价。CFA 不承担提问校准，也不与其他维度合成总分。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 整体研究设计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同任务 δ 操纵进入 Ask / Infer 双轨；过程指标与跨用户 final-deliverable 评价不可互相补偿。</w:t>
      </w:r>
    </w:p>
    <w:p>
      <w:pPr>
        <w:sectPr>
          <w:headerReference w:type="default" r:id="rId16"/>
          <w:footerReference w:type="default" r:id="rId17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核心问题与主张边界</w:t>
      </w:r>
    </w:p>
    <w:p>
      <w:r>
        <w:rPr>
          <w:rFonts w:ascii="Calibri" w:hAnsi="Calibri" w:eastAsia="PingFang SC"/>
          <w:b/>
        </w:rPr>
        <w:t>RQ1 Ask。</w:t>
      </w:r>
      <w:r>
        <w:rPr>
          <w:rFonts w:ascii="Calibri" w:hAnsi="Calibri" w:eastAsia="PingFang SC"/>
        </w:rPr>
        <w:t xml:space="preserve"> 裁减 history、用户可回答时，agent 能否主动获取 missing preferences 并把答案落实到交付物？</w:t>
      </w:r>
    </w:p>
    <w:p>
      <w:r>
        <w:rPr>
          <w:rFonts w:ascii="Calibri" w:hAnsi="Calibri" w:eastAsia="PingFang SC"/>
          <w:b/>
        </w:rPr>
        <w:t>RQ2 Calibration。</w:t>
      </w:r>
      <w:r>
        <w:rPr>
          <w:rFonts w:ascii="Calibri" w:hAnsi="Calibri" w:eastAsia="PingFang SC"/>
        </w:rPr>
        <w:t xml:space="preserve"> 提问概率和优先级是否随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增加？“所有域都问差不多、偏问低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”是待检验零假设，不是预写结果。</w:t>
      </w:r>
    </w:p>
    <w:p>
      <w:r>
        <w:rPr>
          <w:rFonts w:ascii="Calibri" w:hAnsi="Calibri" w:eastAsia="PingFang SC"/>
          <w:b/>
        </w:rPr>
        <w:t>RQ3 Infer。</w:t>
      </w:r>
      <w:r>
        <w:rPr>
          <w:rFonts w:ascii="Calibri" w:hAnsi="Calibri" w:eastAsia="PingFang SC"/>
        </w:rPr>
        <w:t xml:space="preserve"> 用户离线时，agent 能否利用 history-evidenced preferences，同时避免对 unidentifiable 或 irrelevant cues 的投射？</w:t>
      </w:r>
    </w:p>
    <w:p>
      <w:r>
        <w:rPr>
          <w:rFonts w:ascii="Calibri" w:hAnsi="Calibri" w:eastAsia="PingFang SC"/>
          <w:b/>
        </w:rPr>
        <w:t>RQ4 Ranking。</w:t>
      </w:r>
      <w:r>
        <w:rPr>
          <w:rFonts w:ascii="Calibri" w:hAnsi="Calibri" w:eastAsia="PingFang SC"/>
        </w:rPr>
        <w:t xml:space="preserve"> 同一组 Deep Research agent 在 PDR-style full persona、Ask 和 Infer 条件下是否稳定重排？</w:t>
      </w:r>
    </w:p>
    <w:p>
      <w:r>
        <w:rPr>
          <w:rFonts w:ascii="Calibri" w:hAnsi="Calibri" w:eastAsia="PingFang SC"/>
        </w:rPr>
        <w:t>PDR-Bench 不是“implicit elicitation”：它给 agent structured persona，测 full-context personalization / preference projection。</w:t>
      </w:r>
      <w:hyperlink r:id="rId11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[6]</w:t>
        </w:r>
      </w:hyperlink>
      <w:r>
        <w:rPr>
          <w:rFonts w:ascii="Calibri" w:hAnsi="Calibri" w:eastAsia="PingFang SC"/>
        </w:rPr>
        <w:t xml:space="preserve"> 本项目的 Ask 主条件不能直接给完整 persona；Infer 也不能把 PDR simulated context 冒充真实 history。</w:t>
      </w:r>
    </w:p>
    <w:p>
      <w:pPr>
        <w:pStyle w:val="Heading1"/>
      </w:pPr>
      <w:r>
        <w:t>2. 数据与 `δ`</w:t>
      </w:r>
    </w:p>
    <w:p>
      <w:r>
        <w:rPr>
          <w:rFonts w:ascii="Calibri" w:hAnsi="Calibri" w:eastAsia="PingFang SC"/>
        </w:rPr>
        <w:t>一个基础任务固定 task、evidence/repository/dataset、工具、预算和唯一主要交付物。每个 task family 构造三种用户差异：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>：不应改变内容决策，用于检测过问和过度个性化；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</w:t>
      </w:r>
      <w:r>
        <w:rPr>
          <w:rFonts w:ascii="Calibri" w:hAnsi="Calibri" w:eastAsia="PingFang SC"/>
        </w:rPr>
        <w:t>：改变非关键但有用户确认效用的实现、排序或解释；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</w:t>
      </w:r>
      <w:r>
        <w:rPr>
          <w:rFonts w:ascii="Calibri" w:hAnsi="Calibri" w:eastAsia="PingFang SC"/>
        </w:rPr>
        <w:t>：改变 evidence set、算法/接口、分析定义、主要切片、结论或关键风险边界。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是运行前的序数 impact label，不是 agent 输出后的分差。每条 preference node 必须绑定具体 deliverable decision、history evidence span、criticality、acceptable alternatives 和 must-change/must-hold/must-not。LLM 可以按 schema 生成 code/data 候选与 atomic rubric leaves；人类用户提供 ground truth，两名验证者独立确认。分歧无法仲裁时剔除，不以平均掩盖。</w:t>
      </w:r>
    </w:p>
    <w:p>
      <w:r>
        <w:rPr>
          <w:rFonts w:ascii="Calibri" w:hAnsi="Calibri" w:eastAsia="PingFang SC"/>
        </w:rPr>
        <w:t xml:space="preserve">v0.63 已把候选实例化为 </w:t>
      </w:r>
      <w:r>
        <w:rPr>
          <w:rFonts w:ascii="Courier New" w:hAnsi="Courier New" w:eastAsia="PingFang SC"/>
          <w:color w:val="6A3E00"/>
          <w:sz w:val="20"/>
        </w:rPr>
        <w:t>pilot/askinfer_smoke_v0_63/</w:t>
      </w:r>
      <w:r>
        <w:rPr>
          <w:rFonts w:ascii="Calibri" w:hAnsi="Calibri" w:eastAsia="PingFang SC"/>
        </w:rPr>
        <w:t>：4 个 Code/Data task、8 个 A/B user states、4 套 100 分 rubric 与三域 S0 prompts。该包只用于 interaction/parser/reset 排障；真实 repo/data 未绑定前不是 artifact smoke，双人确认前不是 gold。细 rubric 的 2 分要求代码、测试、计算、阈值、停止规则、行动排序或 matched/swapped diff；只写“考虑了 X”最多 1 分。</w:t>
      </w:r>
    </w:p>
    <w:p>
      <w:r>
        <w:rPr>
          <w:rFonts w:ascii="Calibri" w:hAnsi="Calibri" w:eastAsia="PingFang SC"/>
        </w:rPr>
        <w:t>v0.64 首轮 live S0 中，Codex 三题得到 Research PASS、Code PASS with warning、Data FAIL：失败来自遗漏 decision horizon，说明“问到部分 high-δ”不能替代完整 specification recovery。Claude 三题均在模型接收输入前因企业账户余额不足返回 HTTP 401、token 为 0，只记鉴权基础设施失败，不计 agent 能力分。该结果只用于修 harness 与指标，不形成排行榜结论。</w:t>
      </w:r>
    </w:p>
    <w:p>
      <w:r>
        <w:rPr>
          <w:rFonts w:ascii="Calibri" w:hAnsi="Calibri" w:eastAsia="PingFang SC"/>
        </w:rPr>
        <w:t>v0.65 的单任务 PDR-T30 × User12 × ChatGPT Deep Research pilot 已跑通三条件和原始 PDR 44 条 criteria 的盲化三重复评分：Full=6.703、No-Ask=5.596、Interactive=6.033，InteractiveGain=+0.438，RecoveryRatio=39.53%。Interactive 问了六个 task-relevant 问题，恢复了时间安排、AI/创业方向、长期品牌目标和 ROI 偏好，但未问 founder/company role、技术资历、既有平台/工具、跨境和合规信息。该 n=1 product-UI 结果只验证 signal 与失败链；full 也获准追问，评分 transport 不是官方 API，因此不进入确认性主表。</w:t>
      </w:r>
    </w:p>
    <w:p>
      <w:r>
        <w:rPr>
          <w:rFonts w:ascii="Calibri" w:hAnsi="Calibri" w:eastAsia="PingFang SC"/>
        </w:rPr>
        <w:t>v0.66 的 PDR-T01 × User1 双 agent pilot 固定同一 instruction-only + free-clarification 输入。ChatGPT 用一轮 15 个 atomic slots 覆盖 7/7 个预冻结 critical preference clusters，Gemini 没有提问，asked-cluster Jaccard=0；原始 34 条 PDR criteria 的盲化三重复 P-score 为 7.057 与 6.065，差值 +0.992。最大优势集中在个性化方向验证、fit-based shortlist 和可衡量背景提升，而 Gemini 在通用地区比较表和就业信息上更强。该结果证明 agent system 可以采用不同 clarification policy，但产品组件同时变化，不能把分差单独归因于提问或写成排行榜。</w:t>
      </w:r>
    </w:p>
    <w:p>
      <w:r>
        <w:rPr>
          <w:rFonts w:ascii="Calibri" w:hAnsi="Calibri" w:eastAsia="PingFang SC"/>
        </w:rPr>
        <w:t>History 中的 nodes 另标记为：</w:t>
      </w: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。Ask 主测 high-</w:t>
      </w:r>
      <w:r>
        <w:rPr>
          <w:rFonts w:ascii="Courier New" w:hAnsi="Courier New" w:eastAsia="PingFang SC"/>
          <w:color w:val="6A3E00"/>
          <w:sz w:val="20"/>
        </w:rPr>
        <w:t>δ missing_askable</w:t>
      </w:r>
      <w:r>
        <w:rPr>
          <w:rFonts w:ascii="Calibri" w:hAnsi="Calibri" w:eastAsia="PingFang SC"/>
        </w:rPr>
        <w:t>；Infer 主测 recoverable 利用与 unidentifiable/irrelevant 克制。</w:t>
      </w:r>
    </w:p>
    <w:p>
      <w:pPr>
        <w:pStyle w:val="Heading1"/>
      </w:pPr>
      <w:r>
        <w:t>3. 实验条件</w:t>
      </w:r>
    </w:p>
    <w:p>
      <w:pPr>
        <w:pStyle w:val="Heading2"/>
      </w:pPr>
      <w:r>
        <w:t>3.1 Ask：三个 vertical</w:t>
      </w:r>
    </w:p>
    <w:p>
      <w:pPr>
        <w:pStyle w:val="ListBullet"/>
      </w:pPr>
      <w:r>
        <w:rPr>
          <w:rFonts w:ascii="Calibri" w:hAnsi="Calibri" w:eastAsia="PingFang SC"/>
          <w:b/>
        </w:rPr>
        <w:t>A0 No-Ask</w:t>
      </w:r>
      <w:r>
        <w:rPr>
          <w:rFonts w:ascii="Calibri" w:hAnsi="Calibri" w:eastAsia="PingFang SC"/>
        </w:rPr>
        <w:t>：裁减 history，关闭用户通道；</w:t>
      </w:r>
    </w:p>
    <w:p>
      <w:pPr>
        <w:pStyle w:val="ListBullet"/>
      </w:pPr>
      <w:r>
        <w:rPr>
          <w:rFonts w:ascii="Calibri" w:hAnsi="Calibri" w:eastAsia="PingFang SC"/>
          <w:b/>
        </w:rPr>
        <w:t>A1 Ask-Enabled</w:t>
      </w:r>
      <w:r>
        <w:rPr>
          <w:rFonts w:ascii="Calibri" w:hAnsi="Calibri" w:eastAsia="PingFang SC"/>
        </w:rPr>
        <w:t>：同一 history，用户可回答，固定 question/turn/token budget；</w:t>
      </w:r>
    </w:p>
    <w:p>
      <w:pPr>
        <w:pStyle w:val="ListBullet"/>
      </w:pPr>
      <w:r>
        <w:rPr>
          <w:rFonts w:ascii="Calibri" w:hAnsi="Calibri" w:eastAsia="PingFang SC"/>
          <w:b/>
        </w:rPr>
        <w:t>A2 Task-Specific Oracle</w:t>
      </w:r>
      <w:r>
        <w:rPr>
          <w:rFonts w:ascii="Calibri" w:hAnsi="Calibri" w:eastAsia="PingFang SC"/>
        </w:rPr>
        <w:t>：直接提供全部已确认 task-relevant nodes。</w:t>
      </w:r>
    </w:p>
    <w:p>
      <w:r>
        <w:rPr>
          <w:rFonts w:ascii="Calibri" w:hAnsi="Calibri" w:eastAsia="PingFang SC"/>
        </w:rPr>
        <w:t>主 prompt 不提醒个性化或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。少量 Nudge 只诊断“不会自主触发”与“被提醒后仍不会问”的区别。</w:t>
      </w:r>
    </w:p>
    <w:p>
      <w:pPr>
        <w:pStyle w:val="Heading2"/>
      </w:pPr>
      <w:r>
        <w:t>3.2 Infer：Deep Research only</w:t>
      </w:r>
    </w:p>
    <w:p>
      <w:pPr>
        <w:pStyle w:val="ListBullet"/>
      </w:pPr>
      <w:r>
        <w:rPr>
          <w:rFonts w:ascii="Calibri" w:hAnsi="Calibri" w:eastAsia="PingFang SC"/>
          <w:b/>
        </w:rPr>
        <w:t>I0 Task-Only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  <w:b/>
        </w:rPr>
        <w:t>I1 Natural-History Infer</w:t>
      </w:r>
      <w:r>
        <w:rPr>
          <w:rFonts w:ascii="Calibri" w:hAnsi="Calibri" w:eastAsia="PingFang SC"/>
        </w:rPr>
        <w:t>：同一授权 history，禁止提问；</w:t>
      </w:r>
    </w:p>
    <w:p>
      <w:pPr>
        <w:pStyle w:val="ListBullet"/>
      </w:pPr>
      <w:r>
        <w:rPr>
          <w:rFonts w:ascii="Calibri" w:hAnsi="Calibri" w:eastAsia="PingFang SC"/>
          <w:b/>
        </w:rPr>
        <w:t>I2 Task-Specific Oracle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  <w:b/>
        </w:rPr>
        <w:t>I3 PDR-Style Full Persona</w:t>
      </w:r>
      <w:r>
        <w:rPr>
          <w:rFonts w:ascii="Calibri" w:hAnsi="Calibri" w:eastAsia="PingFang SC"/>
        </w:rPr>
        <w:t>：只在 PDR overlap slice 使用。</w:t>
      </w:r>
    </w:p>
    <w:p>
      <w:r>
        <w:rPr>
          <w:rFonts w:ascii="Calibri" w:hAnsi="Calibri" w:eastAsia="PingFang SC"/>
        </w:rPr>
        <w:t>Infer 不要求猜中 history 中不存在的偏好。正确策略可以保守默认、显式分支或声明不确定性；unsupported projection 是独立 boundary failure。</w:t>
      </w:r>
    </w:p>
    <w:p>
      <w:pPr>
        <w:pStyle w:val="Heading2"/>
      </w:pPr>
      <w:r>
        <w:t>3.3 PDR 资源复用</w:t>
      </w:r>
    </w:p>
    <w:p>
      <w:r>
        <w:rPr>
          <w:rFonts w:ascii="Calibri" w:hAnsi="Calibri" w:eastAsia="PingFang SC"/>
        </w:rPr>
        <w:t xml:space="preserve">PDR 的 50 题先全部按 </w:t>
      </w:r>
      <w:r>
        <w:rPr>
          <w:rFonts w:ascii="Courier New" w:hAnsi="Courier New" w:eastAsia="PingFang SC"/>
          <w:color w:val="6A3E00"/>
          <w:sz w:val="20"/>
        </w:rPr>
        <w:t>Personalization leverage=0/1/2</w:t>
      </w:r>
      <w:r>
        <w:rPr>
          <w:rFonts w:ascii="Calibri" w:hAnsi="Calibri" w:eastAsia="PingFang SC"/>
        </w:rPr>
        <w:t xml:space="preserve"> 标注，不随机抽样，也不按 domain 配额。leverage=2 只表示用户差异应改变内容、约束、证据或结论；进入主 slice 还必须通过非表面改变、history 可取证、2–4 个可验证 dimensions、真实 DR 需求、人口/关键词投射和 task–profile 冲突门。</w:t>
      </w:r>
    </w:p>
    <w:p>
      <w:r>
        <w:rPr>
          <w:rFonts w:ascii="Calibri" w:hAnsi="Calibri" w:eastAsia="PingFang SC"/>
        </w:rPr>
        <w:t xml:space="preserve">当前 provisional 15 题为 </w:t>
      </w:r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 xml:space="preserve">，覆盖 Education 3、Career 3、Health 1、Travel 1、Finance 2、Creative 1、Shopping 2、Real Estate 1、Parenting 1；分布是结果，不是配额。官方映射在这 15 题上共有 76 个 bridge pair，因为公开 task 10 有 6 位用户。完整 50 题表与规则位于 </w:t>
      </w:r>
      <w:r>
        <w:rPr>
          <w:rFonts w:ascii="Courier New" w:hAnsi="Courier New" w:eastAsia="PingFang SC"/>
          <w:color w:val="6A3E00"/>
          <w:sz w:val="20"/>
        </w:rPr>
        <w:t>data/pdr_diagnostic_slice_v0_61/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PDR tasks 可作 DR source shell，structured persona 可作 bridge 条件；但这 15 题仍须双人盲化复标，A/B pair 另行选择，并重新冻结 task-conditioned nodes、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、自然 history evidence、matched/swapped 和 human rubric。年龄/性别/职业标签不计作 preference node，儿童状态须有行为或照护证据；Finance/Health/Real Estate 须经专家安全与可行性复核。官方 persona 不能直接进入 Ask 主条件，simulated context 不能称为自然 history；禁止根据 agent 输出替换任务。</w:t>
      </w:r>
    </w:p>
    <w:p>
      <w:pPr>
        <w:pStyle w:val="Heading1"/>
      </w:pPr>
      <w:r>
        <w:t>4. 过程与最终指标</w:t>
      </w:r>
    </w:p>
    <w:p>
      <w:pPr>
        <w:pStyle w:val="Heading2"/>
      </w:pPr>
      <w:r>
        <w:t>4.1 Ask Calibration</w:t>
      </w:r>
    </w:p>
    <w:p>
      <w:r>
        <w:rPr>
          <w:rFonts w:ascii="Calibri" w:hAnsi="Calibri" w:eastAsia="PingFang SC"/>
        </w:rPr>
        <w:t xml:space="preserve">主过程 profile：High-δ Recall@B、Question Precision@B、Low/Zero-δ Question Rate、First-Critical Rank、Stopping Error、User Burden，以及 </w:t>
      </w: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主校准模型：</w:t>
      </w:r>
    </w:p>
    <w:p>
      <w:r>
        <w:rPr>
          <w:rFonts w:ascii="Courier New" w:hAnsi="Courier New" w:eastAsia="PingFang SC"/>
          <w:color w:val="6A3E00"/>
          <w:sz w:val="20"/>
        </w:rPr>
        <w:t>logit P(Asked_fka=1) = α_a + β_a·δ_fk + controls + u_family</w:t>
      </w:r>
    </w:p>
    <w:p>
      <w:r>
        <w:rPr>
          <w:rFonts w:ascii="Courier New" w:hAnsi="Courier New" w:eastAsia="PingFang SC"/>
          <w:color w:val="6A3E00"/>
          <w:sz w:val="20"/>
        </w:rPr>
        <w:t>β_a</w:t>
      </w:r>
      <w:r>
        <w:rPr>
          <w:rFonts w:ascii="Calibri" w:hAnsi="Calibri" w:eastAsia="PingFang SC"/>
        </w:rPr>
        <w:t xml:space="preserve"> 测提问是否随 deliverable impact 增加。Node、question、turn 都不当独立样本；推断按基础任务聚类。</w:t>
      </w:r>
    </w:p>
    <w:p>
      <w:pPr>
        <w:pStyle w:val="Heading2"/>
      </w:pPr>
      <w:r>
        <w:t>4.2 Final deliverable 与 CFA</w:t>
      </w:r>
    </w:p>
    <w:p>
      <w:r>
        <w:rPr>
          <w:rFonts w:ascii="Calibri" w:hAnsi="Calibri" w:eastAsia="PingFang SC"/>
        </w:rPr>
        <w:t xml:space="preserve">用户 A/B 的冻结评分函数交叉评价 </w:t>
      </w:r>
      <w:r>
        <w:rPr>
          <w:rFonts w:ascii="Courier New" w:hAnsi="Courier New" w:eastAsia="PingFang SC"/>
          <w:color w:val="6A3E00"/>
          <w:sz w:val="20"/>
        </w:rPr>
        <w:t>Y_A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Y_B</w:t>
      </w:r>
      <w:r>
        <w:rPr>
          <w:rFonts w:ascii="Calibri" w:hAnsi="Calibri" w:eastAsia="PingFang SC"/>
        </w:rPr>
        <w:t>：</w:t>
      </w:r>
    </w:p>
    <w:p>
      <w:r>
        <w:rPr>
          <w:rFonts w:ascii="Courier New" w:hAnsi="Courier New" w:eastAsia="PingFang SC"/>
          <w:color w:val="6A3E00"/>
          <w:sz w:val="20"/>
        </w:rPr>
        <w:t>Δ_A = PF_A(Y_A)-PF_A(Y_B)</w:t>
      </w:r>
    </w:p>
    <w:p>
      <w:r>
        <w:rPr>
          <w:rFonts w:ascii="Courier New" w:hAnsi="Courier New" w:eastAsia="PingFang SC"/>
          <w:color w:val="6A3E00"/>
          <w:sz w:val="20"/>
        </w:rPr>
        <w:t>Δ_B = PF_B(Y_B)-PF_B(Y_A)</w:t>
      </w:r>
    </w:p>
    <w:p>
      <w:r>
        <w:rPr>
          <w:rFonts w:ascii="Courier New" w:hAnsi="Courier New" w:eastAsia="PingFang SC"/>
          <w:color w:val="6A3E00"/>
          <w:sz w:val="20"/>
        </w:rPr>
        <w:t>CFA_mean=(Δ_A+Δ_B)/2</w:t>
      </w:r>
      <w:r>
        <w:rPr>
          <w:rFonts w:ascii="Calibri" w:hAnsi="Calibri" w:eastAsia="PingFang SC"/>
        </w:rPr>
        <w:t>，</w:t>
      </w:r>
      <w:r>
        <w:rPr>
          <w:rFonts w:ascii="Courier New" w:hAnsi="Courier New" w:eastAsia="PingFang SC"/>
          <w:color w:val="6A3E00"/>
          <w:sz w:val="20"/>
        </w:rPr>
        <w:t>CFA_min=min(Δ_A,Δ_B)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CFA 只表示 final artifact 的跨用户特异性。确认性成功还必须通过 matched absolute adequacy、Ask vs No-Ask 或 Infer vs Task-Only gain、shared quality/functionality no-harm、privacy/permission/unsupported-projection boundary 和目标用户盲化选择。维度不合成总分。</w:t>
      </w:r>
    </w:p>
    <w:p>
      <w:pPr>
        <w:pStyle w:val="Heading1"/>
      </w:pPr>
      <w:r>
        <w:t>5. 排名反转</w:t>
      </w:r>
    </w:p>
    <w:p>
      <w:r>
        <w:rPr>
          <w:rFonts w:ascii="Calibri" w:hAnsi="Calibri" w:eastAsia="PingFang SC"/>
        </w:rPr>
        <w:t xml:space="preserve">共享 DR slice 对同一 agent 版本、工具、预算和时间窗计算 PDR-style、Ask 和 Infer profile。报告 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 matrix 与 family-cluster bootstrap。只有稳定 inversion 才能说能力排名重排；公开旧 leaderboard 与新运行不能直接比较。</w:t>
      </w:r>
    </w:p>
    <w:p>
      <w:r>
        <w:rPr>
          <w:rFonts w:ascii="Calibri" w:hAnsi="Calibri" w:eastAsia="PingFang SC"/>
        </w:rPr>
        <w:t xml:space="preserve">若排序一致，仍可报告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校准和 acquisition-to-use failure，但不能声称 PDR 排名误导。若差异由 token、长度、provider、搜索深度或 judge 解释，按混杂降级。</w:t>
      </w:r>
    </w:p>
    <w:p>
      <w:pPr>
        <w:pStyle w:val="Heading1"/>
      </w:pPr>
      <w:r>
        <w:t>6. 最小实验与统计</w:t>
      </w:r>
    </w:p>
    <w:p>
      <w:r>
        <w:rPr>
          <w:rFonts w:ascii="Calibri" w:hAnsi="Calibri" w:eastAsia="PingFang SC"/>
        </w:rPr>
        <w:t xml:space="preserve">Novelty-kill pilot 冻结 PDR-T01、PDR-T30、SW001、SW013、DA003、DA015。每题一个 A/B 用户对，在 node 层覆盖 high/low/zero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；Ask 跑 A0/A1/A2，两个 DR 题另跑 I1 history 与 I3 Full-Persona bridge，A0=I0、A2=I2 精确复用。Codex CLI、Claude Code、Gemini CLI 三个必跑系统共 114 个唯一 episode；条件性加入 OpenHands 后为 152。matched block 在 2–6 小时内随机顺序完成，整批目标 48–72 小时并重跑 5%–10% anchors。该规模只验证操纵、日志、rubric 和近邻增量。</w:t>
      </w:r>
    </w:p>
    <w:p>
      <w:r>
        <w:rPr>
          <w:rFonts w:ascii="Calibri" w:hAnsi="Calibri" w:eastAsia="PingFang SC"/>
        </w:rPr>
        <w:t>9 月 14 日过门后，第一轮只扩到 12 个独立基础任务（Deep Research、Coding、Data 各 4 个），作为截止期内 scoped agent-system leaderboard 的候选规模。通过人工 qualification 的 15 个 PDR task 加 Coding/Data 各 8 个只构成后续 31 题规划上限，不是两周承诺。最终规模由 pilot family-level 方差、资格通过率、成本与最小实际重要差异做功效模拟后冻结，不得看 agent 输出删题。统计单位是基础任务，不是 user、pair、seed、turn 或 leaf。</w:t>
      </w:r>
    </w:p>
    <w:p>
      <w:pPr>
        <w:pStyle w:val="Heading1"/>
      </w:pPr>
      <w:r>
        <w:t>7. 最强风险与停止条件</w:t>
      </w:r>
    </w:p>
    <w:p>
      <w:pPr>
        <w:pStyle w:val="ListBullet"/>
      </w:pPr>
      <w:r>
        <w:rPr>
          <w:rFonts w:ascii="Calibri" w:hAnsi="Calibri" w:eastAsia="PingFang SC"/>
          <w:b/>
        </w:rPr>
        <w:t>G-STEER/IDRBench 的跨域扩展。</w:t>
      </w:r>
      <w:r>
        <w:rPr>
          <w:rFonts w:ascii="Calibri" w:hAnsi="Calibri" w:eastAsia="PingFang SC"/>
        </w:rPr>
        <w:t xml:space="preserve"> 若已有 target coverage、question cost 和通用质量完全预测新 profile，贡献不足。</w:t>
      </w:r>
      <w:hyperlink r:id="rId12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3">
        <w:r>
          <w:rPr>
            <w:rFonts w:ascii="Calibri" w:hAnsi="Calibri" w:eastAsia="PingFang SC"/>
            <w:color w:val="2E74B5"/>
            <w:u w:val="single"/>
          </w:rPr>
          <w:t>[3]</w:t>
        </w:r>
      </w:hyperlink>
    </w:p>
    <w:p>
      <w:pPr>
        <w:pStyle w:val="ListBullet"/>
      </w:pPr>
      <w:r>
        <w:rPr>
          <w:rFonts w:ascii="Calibri" w:hAnsi="Calibri" w:eastAsia="PingFang SC"/>
          <w:b/>
        </w:rPr>
        <w:t>LLM 造 persona/rubric 循环。</w:t>
      </w:r>
      <w:r>
        <w:rPr>
          <w:rFonts w:ascii="Calibri" w:hAnsi="Calibri" w:eastAsia="PingFang SC"/>
        </w:rPr>
        <w:t xml:space="preserve"> Human-authored critical nodes 优先，compiler-only inference 确认性权重为 0。</w:t>
      </w:r>
    </w:p>
    <w:p>
      <w:pPr>
        <w:pStyle w:val="ListBullet"/>
      </w:pPr>
      <w:r>
        <w:rPr>
          <w:rFonts w:ascii="Calibri" w:hAnsi="Calibri" w:eastAsia="PingFang SC"/>
          <w:b/>
        </w:rPr>
        <w:t>Infer 奖励 stereotype。</w:t>
      </w:r>
      <w:r>
        <w:rPr>
          <w:rFonts w:ascii="Calibri" w:hAnsi="Calibri" w:eastAsia="PingFang SC"/>
        </w:rPr>
        <w:t xml:space="preserve"> recoverable/unidentifiable/irrelevant 分开，加入 cue deletion、demographic swap 和 wrong-history controls；同一 persona 的不同 cues 已知会改变模型结果。</w:t>
      </w:r>
      <w:hyperlink r:id="rId22">
        <w:r>
          <w:rPr>
            <w:rFonts w:ascii="Calibri" w:hAnsi="Calibri" w:eastAsia="PingFang SC"/>
            <w:color w:val="2E74B5"/>
            <w:u w:val="single"/>
          </w:rPr>
          <w:t>[8]</w:t>
        </w:r>
      </w:hyperlink>
    </w:p>
    <w:p>
      <w:pPr>
        <w:pStyle w:val="ListBullet"/>
      </w:pPr>
      <w:r>
        <w:rPr>
          <w:rFonts w:ascii="Calibri" w:hAnsi="Calibri" w:eastAsia="PingFang SC"/>
          <w:b/>
        </w:rPr>
        <w:t>多问获得更多算力。</w:t>
      </w:r>
      <w:r>
        <w:rPr>
          <w:rFonts w:ascii="Calibri" w:hAnsi="Calibri" w:eastAsia="PingFang SC"/>
        </w:rPr>
        <w:t xml:space="preserve"> 执行预算和交互预算分开冻结，报告 burden 与 quality-cost frontier。</w:t>
      </w:r>
    </w:p>
    <w:p>
      <w:pPr>
        <w:pStyle w:val="ListBullet"/>
      </w:pPr>
      <w:r>
        <w:rPr>
          <w:rFonts w:ascii="Calibri" w:hAnsi="Calibri" w:eastAsia="PingFang SC"/>
          <w:b/>
        </w:rPr>
        <w:t>模拟器效度。</w:t>
      </w:r>
      <w:r>
        <w:rPr>
          <w:rFonts w:ascii="Calibri" w:hAnsi="Calibri" w:eastAsia="PingFang SC"/>
        </w:rPr>
        <w:t xml:space="preserve"> 正式结论需真人对话子集；模拟器排序若与真人不稳定，主榜降级。</w:t>
      </w:r>
    </w:p>
    <w:p>
      <w:pPr>
        <w:pStyle w:val="ListBullet"/>
      </w:pPr>
      <w:r>
        <w:rPr>
          <w:rFonts w:ascii="Calibri" w:hAnsi="Calibri" w:eastAsia="PingFang SC"/>
          <w:b/>
        </w:rPr>
        <w:t>`δ` 不可靠。</w:t>
      </w:r>
      <w:r>
        <w:rPr>
          <w:rFonts w:ascii="Calibri" w:hAnsi="Calibri" w:eastAsia="PingFang SC"/>
        </w:rPr>
        <w:t xml:space="preserve"> 若盲化验证者不能稳定区分 0/low/high，停止 ask-calibration 主张。</w:t>
      </w:r>
    </w:p>
    <w:p>
      <w:pPr>
        <w:pStyle w:val="ListBullet"/>
      </w:pPr>
      <w:r>
        <w:rPr>
          <w:rFonts w:ascii="Calibri" w:hAnsi="Calibri" w:eastAsia="PingFang SC"/>
          <w:b/>
        </w:rPr>
        <w:t>无系统重分类。</w:t>
      </w:r>
      <w:r>
        <w:rPr>
          <w:rFonts w:ascii="Calibri" w:hAnsi="Calibri" w:eastAsia="PingFang SC"/>
        </w:rPr>
        <w:t xml:space="preserve"> 若新 profile 不改变任何经验结论或真人预测，降级为透明诊断扩展。</w:t>
      </w:r>
    </w:p>
    <w:p>
      <w:pPr>
        <w:pStyle w:val="Heading1"/>
      </w:pPr>
      <w:r>
        <w:t>8. 候选贡献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Ask/Infer 双情境下的 task-specific personalization evaluation；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同任务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操纵与有限问题预算的 Ask Calibration；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真人提供关键 decision nodes、LLM 受约束补充 rubric 的 provenance-aware ground truth；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acquisition、inference、final utilization 的不可补偿分解；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在同窗 DR slice 上检验 PDR-style full-persona 排名是否可外推，而不预设反转。</w:t>
      </w:r>
    </w:p>
    <w:p>
      <w:r>
        <w:rPr>
          <w:rFonts w:ascii="Calibri" w:hAnsi="Calibri" w:eastAsia="PingFang SC"/>
        </w:rPr>
        <w:t>允许声称可观察行为和交付物差异；不能声称模型内部真正理解用户、首次研究澄清、任何 history 都可推断偏好，或排名必然反转。</w:t>
      </w:r>
    </w:p>
    <w:p>
      <w:pPr>
        <w:sectPr>
          <w:headerReference w:type="default" r:id="rId19"/>
          <w:footerReference w:type="default" r:id="rId2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pStyle w:val="Heading1"/>
      </w:pPr>
      <w:r>
        <w:t>参考文献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[1] Liang et al. </w:t>
      </w:r>
      <w:r>
        <w:rPr>
          <w:rFonts w:ascii="Calibri" w:hAnsi="Calibri" w:eastAsia="PingFang SC"/>
          <w:i/>
          <w:sz w:val="15"/>
        </w:rPr>
        <w:t>Towards Personalized Deep Research: Benchmarks and Evaluations</w:t>
      </w:r>
      <w:r>
        <w:rPr>
          <w:rFonts w:ascii="Calibri" w:hAnsi="Calibri" w:eastAsia="PingFang SC"/>
          <w:sz w:val="15"/>
        </w:rPr>
        <w:t xml:space="preserve">. arXiv:2509.25106. </w:t>
      </w:r>
      <w:hyperlink r:id="rId1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https://arxiv.org/abs/2509.25106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[2] Yoon and Lee. </w:t>
      </w:r>
      <w:r>
        <w:rPr>
          <w:rFonts w:ascii="Calibri" w:hAnsi="Calibri" w:eastAsia="PingFang SC"/>
          <w:i/>
          <w:sz w:val="15"/>
        </w:rPr>
        <w:t>Personalized Deep Research Query Refinement with Graph-Scaffolded Evidence Grounding</w:t>
      </w:r>
      <w:r>
        <w:rPr>
          <w:rFonts w:ascii="Calibri" w:hAnsi="Calibri" w:eastAsia="PingFang SC"/>
          <w:sz w:val="15"/>
        </w:rPr>
        <w:t xml:space="preserve">. arXiv:2608.05876. </w:t>
      </w:r>
      <w:hyperlink r:id="rId1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https://arxiv.org/abs/2608.05876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[3] Feng et al. </w:t>
      </w:r>
      <w:r>
        <w:rPr>
          <w:rFonts w:ascii="Calibri" w:hAnsi="Calibri" w:eastAsia="PingFang SC"/>
          <w:i/>
          <w:sz w:val="15"/>
        </w:rPr>
        <w:t>IDRBench: Interactive Deep Research Benchmark</w:t>
      </w:r>
      <w:r>
        <w:rPr>
          <w:rFonts w:ascii="Calibri" w:hAnsi="Calibri" w:eastAsia="PingFang SC"/>
          <w:sz w:val="15"/>
        </w:rPr>
        <w:t xml:space="preserve">. arXiv:2601.06676. </w:t>
      </w:r>
      <w:hyperlink r:id="rId1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https://arxiv.org/abs/2601.06676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[4] Luo et al. </w:t>
      </w:r>
      <w:r>
        <w:rPr>
          <w:rFonts w:ascii="Calibri" w:hAnsi="Calibri" w:eastAsia="PingFang SC"/>
          <w:i/>
          <w:sz w:val="15"/>
        </w:rPr>
        <w:t>IntentRL: Training Proactive User-intent Agents for Open-ended Deep Research via Reinforcement Learning</w:t>
      </w:r>
      <w:r>
        <w:rPr>
          <w:rFonts w:ascii="Calibri" w:hAnsi="Calibri" w:eastAsia="PingFang SC"/>
          <w:sz w:val="15"/>
        </w:rPr>
        <w:t xml:space="preserve">. arXiv:2602.03468. </w:t>
      </w:r>
      <w:hyperlink r:id="rId1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https://arxiv.org/abs/2602.03468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[5] Tao et al. </w:t>
      </w:r>
      <w:r>
        <w:rPr>
          <w:rFonts w:ascii="Calibri" w:hAnsi="Calibri" w:eastAsia="PingFang SC"/>
          <w:i/>
          <w:sz w:val="15"/>
        </w:rPr>
        <w:t>When Search Agents Should Ask: DiscoBench for Clarification-Aware Deep Search</w:t>
      </w:r>
      <w:r>
        <w:rPr>
          <w:rFonts w:ascii="Calibri" w:hAnsi="Calibri" w:eastAsia="PingFang SC"/>
          <w:sz w:val="15"/>
        </w:rPr>
        <w:t xml:space="preserve">. arXiv:2606.27669. </w:t>
      </w:r>
      <w:hyperlink r:id="rId15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https://arxiv.org/abs/2606.27669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[6] OPPO-PersonalAI. </w:t>
      </w:r>
      <w:r>
        <w:rPr>
          <w:rFonts w:ascii="Calibri" w:hAnsi="Calibri" w:eastAsia="PingFang SC"/>
          <w:i/>
          <w:sz w:val="15"/>
        </w:rPr>
        <w:t>PersonalizedDeepResearchBench official repository</w:t>
      </w:r>
      <w:r>
        <w:rPr>
          <w:rFonts w:ascii="Calibri" w:hAnsi="Calibri" w:eastAsia="PingFang SC"/>
          <w:sz w:val="15"/>
        </w:rPr>
        <w:t xml:space="preserve">. </w:t>
      </w:r>
      <w:hyperlink r:id="rId2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https://github.com/OPPO-PersonalAI/PersonalizedDeepResearchBench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[7] Shao et al. </w:t>
      </w:r>
      <w:r>
        <w:rPr>
          <w:rFonts w:ascii="Calibri" w:hAnsi="Calibri" w:eastAsia="PingFang SC"/>
          <w:i/>
          <w:sz w:val="15"/>
        </w:rPr>
        <w:t>MyScholarQA: Personalized Scholarly Question Answering</w:t>
      </w:r>
      <w:r>
        <w:rPr>
          <w:rFonts w:ascii="Calibri" w:hAnsi="Calibri" w:eastAsia="PingFang SC"/>
          <w:sz w:val="15"/>
        </w:rPr>
        <w:t xml:space="preserve">. ACL 2026. </w:t>
      </w:r>
      <w:hyperlink r:id="rId2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https://aclanthology.org/2026.acl-long.723/</w:t>
        </w:r>
      </w:hyperlink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[8] Weeber et al. </w:t>
      </w:r>
      <w:r>
        <w:rPr>
          <w:rFonts w:ascii="Calibri" w:hAnsi="Calibri" w:eastAsia="PingFang SC"/>
          <w:i/>
          <w:sz w:val="15"/>
        </w:rPr>
        <w:t>One Persona, Many Cues, Different Results</w:t>
      </w:r>
      <w:r>
        <w:rPr>
          <w:rFonts w:ascii="Calibri" w:hAnsi="Calibri" w:eastAsia="PingFang SC"/>
          <w:sz w:val="15"/>
        </w:rPr>
        <w:t xml:space="preserve">. ACL 2026. </w:t>
      </w:r>
      <w:hyperlink r:id="rId2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https://aclanthology.org/2026.acl-long.2079/</w:t>
        </w:r>
      </w:hyperlink>
    </w:p>
    <w:sectPr w:rsidR="00FC693F" w:rsidRPr="0006063C" w:rsidSect="00034616">
      <w:type w:val="continuous"/>
      <w:pgSz w:w="12240" w:h="15840"/>
      <w:pgMar w:top="1080" w:right="1080" w:bottom="1080" w:left="1080" w:header="708" w:footer="708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正式 PROPOSAL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  <w:jc w:val="left"/>
    </w:pPr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9.25106" TargetMode="External"/><Relationship Id="rId12" Type="http://schemas.openxmlformats.org/officeDocument/2006/relationships/hyperlink" Target="https://arxiv.org/abs/2608.05876" TargetMode="External"/><Relationship Id="rId13" Type="http://schemas.openxmlformats.org/officeDocument/2006/relationships/hyperlink" Target="https://arxiv.org/abs/2601.06676" TargetMode="External"/><Relationship Id="rId14" Type="http://schemas.openxmlformats.org/officeDocument/2006/relationships/hyperlink" Target="https://arxiv.org/abs/2602.03468" TargetMode="External"/><Relationship Id="rId15" Type="http://schemas.openxmlformats.org/officeDocument/2006/relationships/hyperlink" Target="https://arxiv.org/abs/2606.27669" TargetMode="Externa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1.pn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hyperlink" Target="https://github.com/OPPO-PersonalAI/PersonalizedDeepResearchBench" TargetMode="External"/><Relationship Id="rId22" Type="http://schemas.openxmlformats.org/officeDocument/2006/relationships/hyperlink" Target="https://aclanthology.org/2026.acl-long.2079/" TargetMode="External"/><Relationship Id="rId23" Type="http://schemas.openxmlformats.org/officeDocument/2006/relationships/hyperlink" Target="https://aclanthology.org/2026.acl-long.7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