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v0.26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4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Counterfactual Effect · 可审计构造 · 分级压力 · 跨环境运行</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固定任务与证据，只改变目标用户；用 matched/swapped 与三类契约判断输出是否按正确方向变化，再比较不同 agent 在 S0–S3 压力下的表现。</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论文图表蓝图</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智能体已经能检索、综合并生成长报告，但“报告正确”不等于“报告适合这个用户”。现有研究已经覆盖了这条能力链上的多个环节。LaMP 和 PersonaLens 评价用户历史与任务对话是否改善输出；</w:t>
      </w:r>
      <w:hyperlink r:id="rId11">
        <w:r>
          <w:rPr>
            <w:rFonts w:ascii="Calibri" w:hAnsi="Calibri" w:eastAsia="PingFang SC"/>
            <w:color w:val="2E74B5"/>
            <w:u w:val="single"/>
          </w:rPr>
          <w:t>[33]</w:t>
        </w:r>
      </w:hyperlink>
      <w:hyperlink r:id="rId12">
        <w:r>
          <w:rPr>
            <w:rFonts w:ascii="Calibri" w:hAnsi="Calibri" w:eastAsia="PingFang SC"/>
            <w:color w:val="2E74B5"/>
            <w:u w:val="single"/>
          </w:rPr>
          <w:t>[35]</w:t>
        </w:r>
      </w:hyperlink>
      <w:r>
        <w:rPr>
          <w:rFonts w:ascii="Calibri" w:hAnsi="Calibri" w:eastAsia="PingFang SC"/>
        </w:rPr>
        <w:t xml:space="preserve"> TravelPlanner+、ETAPP、ToolSpectrum、APOLLO、Mem2ActBench 与 AndroidIntent 把个性化推进到规划、工具选择和 GUI 行动；</w:t>
      </w:r>
      <w:hyperlink r:id="rId13">
        <w:r>
          <w:rPr>
            <w:rFonts w:ascii="Calibri" w:hAnsi="Calibri" w:eastAsia="PingFang SC"/>
            <w:color w:val="2E74B5"/>
            <w:u w:val="single"/>
          </w:rPr>
          <w:t>[34]</w:t>
        </w:r>
      </w:hyperlink>
      <w:hyperlink r:id="rId14">
        <w:r>
          <w:rPr>
            <w:rFonts w:ascii="Calibri" w:hAnsi="Calibri" w:eastAsia="PingFang SC"/>
            <w:color w:val="2E74B5"/>
            <w:u w:val="single"/>
          </w:rPr>
          <w:t>[37]</w:t>
        </w:r>
      </w:hyperlink>
      <w:hyperlink r:id="rId15">
        <w:r>
          <w:rPr>
            <w:rFonts w:ascii="Calibri" w:hAnsi="Calibri" w:eastAsia="PingFang SC"/>
            <w:color w:val="2E74B5"/>
            <w:u w:val="single"/>
          </w:rPr>
          <w:t>[38]</w:t>
        </w:r>
      </w:hyperlink>
      <w:hyperlink r:id="rId16">
        <w:r>
          <w:rPr>
            <w:rFonts w:ascii="Calibri" w:hAnsi="Calibri" w:eastAsia="PingFang SC"/>
            <w:color w:val="2E74B5"/>
            <w:u w:val="single"/>
          </w:rPr>
          <w:t>[49]</w:t>
        </w:r>
      </w:hyperlink>
      <w:hyperlink r:id="rId17">
        <w:r>
          <w:rPr>
            <w:rFonts w:ascii="Calibri" w:hAnsi="Calibri" w:eastAsia="PingFang SC"/>
            <w:color w:val="2E74B5"/>
            <w:u w:val="single"/>
          </w:rPr>
          <w:t>[48]</w:t>
        </w:r>
      </w:hyperlink>
      <w:hyperlink r:id="rId18">
        <w:r>
          <w:rPr>
            <w:rFonts w:ascii="Calibri" w:hAnsi="Calibri" w:eastAsia="PingFang SC"/>
            <w:color w:val="2E74B5"/>
            <w:u w:val="single"/>
          </w:rPr>
          <w:t>[50]</w:t>
        </w:r>
      </w:hyperlink>
      <w:r>
        <w:rPr>
          <w:rFonts w:ascii="Calibri" w:hAnsi="Calibri" w:eastAsia="PingFang SC"/>
        </w:rPr>
        <w:t xml:space="preserve"> PersonaMem、RPEval、PAHF、PerMemBench、Memora 与 CloneMem 则研究画像变化、无关记忆、主动澄清、记忆写入和过期事实。</w:t>
      </w:r>
      <w:hyperlink r:id="rId19">
        <w:r>
          <w:rPr>
            <w:rFonts w:ascii="Calibri" w:hAnsi="Calibri" w:eastAsia="PingFang SC"/>
            <w:color w:val="2E74B5"/>
            <w:u w:val="single"/>
          </w:rPr>
          <w:t>[36]</w:t>
        </w:r>
      </w:hyperlink>
      <w:hyperlink r:id="rId20">
        <w:r>
          <w:rPr>
            <w:rFonts w:ascii="Calibri" w:hAnsi="Calibri" w:eastAsia="PingFang SC"/>
            <w:color w:val="2E74B5"/>
            <w:u w:val="single"/>
          </w:rPr>
          <w:t>[43]</w:t>
        </w:r>
      </w:hyperlink>
      <w:hyperlink r:id="rId21">
        <w:r>
          <w:rPr>
            <w:rFonts w:ascii="Calibri" w:hAnsi="Calibri" w:eastAsia="PingFang SC"/>
            <w:color w:val="2E74B5"/>
            <w:u w:val="single"/>
          </w:rPr>
          <w:t>[44]</w:t>
        </w:r>
      </w:hyperlink>
      <w:hyperlink r:id="rId22">
        <w:r>
          <w:rPr>
            <w:rFonts w:ascii="Calibri" w:hAnsi="Calibri" w:eastAsia="PingFang SC"/>
            <w:color w:val="2E74B5"/>
            <w:u w:val="single"/>
          </w:rPr>
          <w:t>[45]</w:t>
        </w:r>
      </w:hyperlink>
      <w:hyperlink r:id="rId23">
        <w:r>
          <w:rPr>
            <w:rFonts w:ascii="Calibri" w:hAnsi="Calibri" w:eastAsia="PingFang SC"/>
            <w:color w:val="2E74B5"/>
            <w:u w:val="single"/>
          </w:rPr>
          <w:t>[46]</w:t>
        </w:r>
      </w:hyperlink>
      <w:hyperlink r:id="rId24">
        <w:r>
          <w:rPr>
            <w:rFonts w:ascii="Calibri" w:hAnsi="Calibri" w:eastAsia="PingFang SC"/>
            <w:color w:val="2E74B5"/>
            <w:u w:val="single"/>
          </w:rPr>
          <w:t>[47]</w:t>
        </w:r>
      </w:hyperlink>
      <w:r>
        <w:rPr>
          <w:rFonts w:ascii="Calibri" w:hAnsi="Calibri" w:eastAsia="PingFang SC"/>
        </w:rPr>
        <w:t xml:space="preserve"> 因此，本项目不能再声称“用户理解、记忆或个性化行动无人评测”。</w:t>
      </w:r>
    </w:p>
    <w:p>
      <w:r>
        <w:rPr>
          <w:rFonts w:ascii="Calibri" w:hAnsi="Calibri" w:eastAsia="PingFang SC"/>
        </w:rPr>
        <w:t>已有工作也开始直接评价个性化 Deep Research。PDR-Bench 把真实 persona 和动态上下文配到开放式研究任务，并按 task/persona 生成个性化 rubric；</w:t>
      </w:r>
      <w:hyperlink r:id="rId25">
        <w:r>
          <w:rPr>
            <w:rFonts w:ascii="Calibri" w:hAnsi="Calibri" w:eastAsia="PingFang SC"/>
            <w:color w:val="2E74B5"/>
            <w:u w:val="single"/>
          </w:rPr>
          <w:t>[4]</w:t>
        </w:r>
      </w:hyperlink>
      <w:r>
        <w:rPr>
          <w:rFonts w:ascii="Calibri" w:hAnsi="Calibri" w:eastAsia="PingFang SC"/>
        </w:rPr>
        <w:t xml:space="preserve"> 另一项 PDR 工作把用户画像放入检索—推理循环，但只覆盖四类任务；</w:t>
      </w:r>
      <w:hyperlink r:id="rId26">
        <w:r>
          <w:rPr>
            <w:rFonts w:ascii="Calibri" w:hAnsi="Calibri" w:eastAsia="PingFang SC"/>
            <w:color w:val="2E74B5"/>
            <w:u w:val="single"/>
          </w:rPr>
          <w:t>[40]</w:t>
        </w:r>
      </w:hyperlink>
      <w:r>
        <w:rPr>
          <w:rFonts w:ascii="Calibri" w:hAnsi="Calibri" w:eastAsia="PingFang SC"/>
        </w:rPr>
        <w:t xml:space="preserve"> MyScholarQA 则发现，合成用户和 LLM judge 会漏掉真人指出的九类细微错误。</w:t>
      </w:r>
      <w:hyperlink r:id="rId27">
        <w:r>
          <w:rPr>
            <w:rFonts w:ascii="Calibri" w:hAnsi="Calibri" w:eastAsia="PingFang SC"/>
            <w:color w:val="2E74B5"/>
            <w:u w:val="single"/>
          </w:rPr>
          <w:t>[41]</w:t>
        </w:r>
      </w:hyperlink>
    </w:p>
    <w:p>
      <w:r>
        <w:rPr>
          <w:rFonts w:ascii="Calibri" w:hAnsi="Calibri" w:eastAsia="PingFang SC"/>
        </w:rPr>
        <w:t xml:space="preserve">其中，PDR-Bench 已经能回答：给定 task 和 persona，一份报告是否适合该用户。这是成立的 </w:t>
      </w:r>
      <w:r>
        <w:rPr>
          <w:rFonts w:ascii="Calibri" w:hAnsi="Calibri" w:eastAsia="PingFang SC"/>
          <w:b/>
        </w:rPr>
        <w:t>absolute adaptation evaluation</w:t>
      </w:r>
      <w:r>
        <w:rPr>
          <w:rFonts w:ascii="Calibri" w:hAnsi="Calibri" w:eastAsia="PingFang SC"/>
        </w:rPr>
        <w:t xml:space="preserve">。DeepAlign-Bench 不否定这一贡献。它要回答的是另一个问题：固定任务、证据、工具和预算，只把目标用户从 A 换成 B，交付物是否也按正确方向变化，而且 A 的版本是否确实更适合 A、B 的版本是否确实更适合 B？因此，本项目把两个用户及其交付物放进同一 </w:t>
      </w:r>
      <w:r>
        <w:rPr>
          <w:rFonts w:ascii="Calibri" w:hAnsi="Calibri" w:eastAsia="PingFang SC"/>
          <w:b/>
        </w:rPr>
        <w:t>matched/swapped 交叉评分矩阵</w:t>
      </w:r>
      <w:r>
        <w:rPr>
          <w:rFonts w:ascii="Calibri" w:hAnsi="Calibri" w:eastAsia="PingFang SC"/>
        </w:rPr>
        <w:t xml:space="preserve">，将估计对象改为 </w:t>
      </w:r>
      <w:r>
        <w:rPr>
          <w:rFonts w:ascii="Calibri" w:hAnsi="Calibri" w:eastAsia="PingFang SC"/>
          <w:b/>
        </w:rPr>
        <w:t>counterfactual personalization effect</w:t>
      </w:r>
      <w:r>
        <w:rPr>
          <w:rFonts w:ascii="Calibri" w:hAnsi="Calibri" w:eastAsia="PingFang SC"/>
        </w:rPr>
        <w:t>。PDR-Bench 报告的最佳 judge 与人类 pairwise agreement 为 0.43，校准只覆盖 15 个 query 和两个 agent；这说明它足以提出评价构念，但还不足以直接支撑 DeepAlign 所需的精细跨条件比较。独立 JudgeBench 用来验证这套新测量是否可靠。</w:t>
      </w:r>
    </w:p>
    <w:p>
      <w:r>
        <w:rPr>
          <w:rFonts w:ascii="Calibri" w:hAnsi="Calibri" w:eastAsia="PingFang SC"/>
        </w:rPr>
        <w:t xml:space="preserve">本项目将构建 </w:t>
      </w:r>
      <w:r>
        <w:rPr>
          <w:rFonts w:ascii="Calibri" w:hAnsi="Calibri" w:eastAsia="PingFang SC"/>
          <w:b/>
        </w:rPr>
        <w:t>DeepAlign-Bench</w:t>
      </w:r>
      <w:r>
        <w:rPr>
          <w:rFonts w:ascii="Calibri" w:hAnsi="Calibri" w:eastAsia="PingFang SC"/>
        </w:rPr>
        <w:t>：一个面向广义长程 Deep Research、以最终交付物为主要评价对象、并可扩展到执行轨迹的个性化 benchmark。它不只比较“给 persona”和“不提供 persona”时的平均分。每个反事实任务族都固定任务、证据环境和资源预算，只改变目标用户或用户信息的呈现方式；随后检查输出是否产生了有依据的用户特异变化，同时保持通用任务质量、事实可靠性、安全和隐私。</w:t>
      </w:r>
    </w:p>
    <w:p>
      <w:r>
        <w:rPr>
          <w:rFonts w:ascii="Calibri" w:hAnsi="Calibri" w:eastAsia="PingFang SC"/>
        </w:rPr>
        <w:t>元数据不是附属说明，而是实验设计的一部分。每个 case 记录五组信息：研究任务、研究环境、任务条件化用户状态、用户信号渠道和 agent 系统。实验再选择获取、保持、利用或更新用户信息的测试算子。任务立方体说明“在哪类研究任务上测”；借鉴 Agent-SafetyBench 的双轴 taxonomy 说明“最终错在哪里”以及“case 想暴露哪类失败”。同一组元数据还用于抽样、生成对照条件、选择 rubric、切分结果和审计覆盖范围。</w:t>
      </w:r>
    </w:p>
    <w:p>
      <w:r>
        <w:rPr>
          <w:rFonts w:ascii="Calibri" w:hAnsi="Calibri" w:eastAsia="PingFang SC"/>
        </w:rPr>
        <w:t>“覆盖尽可能多的 DR 模式”不等于运行完整笛卡尔积。两个月版本先定义可扩展 ontology，再预注册一个可完成的子集：24 个 counterfactual family、每题两个强对比用户、四个核心信号条件和三类核心 agent。错配、无关信息、冲突或过期状态、长上下文稀释和动态更新只在 8 个 anchor family 上做压力测试。运行前冻结任务元数据和预期失败模式；运行后独立标注模型实际出现的错误。工程上采用 OpenCompass 的配置—推理—评估—汇总分层，并复用 EvalScope 的 adapter、arena 和报告能力。两个月主线使用规则、证据核验、强通用 judge 和真人评价；SFT scorer 只有在主实验按期完成后才作为可选效率实验。</w:t>
      </w:r>
    </w:p>
    <w:p>
      <w:r>
        <w:rPr>
          <w:rFonts w:ascii="Calibri" w:hAnsi="Calibri" w:eastAsia="PingFang SC"/>
          <w:b/>
        </w:rPr>
        <w:t>一句话研究目标：</w:t>
      </w:r>
      <w:r>
        <w:rPr>
          <w:rFonts w:ascii="Calibri" w:hAnsi="Calibri" w:eastAsia="PingFang SC"/>
        </w:rPr>
        <w:t>在不降低事实性和任务完成质量的前提下，检验长程智能体能否从不同来源正确使用任务相关用户信息，并在干扰和状态变化下保持必要约束，最终交付对目标用户确有额外价值的产物。只有完成受控轨迹实验，论文才进一步讨论失败发生在获取、保持、利用还是更新阶段。</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对同一任务和证据，不同用户是否确实需要不同的合格交付物？这些差异能否由原子 rubric 和目标用户判断稳定识别？</w:t>
      </w:r>
    </w:p>
    <w:p>
      <w:r>
        <w:rPr>
          <w:rFonts w:ascii="Calibri" w:hAnsi="Calibri" w:eastAsia="PingFang SC"/>
          <w:b/>
        </w:rPr>
        <w:t>RQ2：用户信息从哪里来，是否会影响结果？</w:t>
      </w:r>
      <w:r>
        <w:rPr>
          <w:rFonts w:ascii="Calibri" w:hAnsi="Calibri" w:eastAsia="PingFang SC"/>
        </w:rPr>
        <w:t xml:space="preserve"> 结构化 persona、任务简报、澄清对话、长期历史、行为轨迹、私有工作区、反馈和动态更新，分别能带来多少有效增益，又会增加多少误用风险？</w:t>
      </w:r>
    </w:p>
    <w:p>
      <w:r>
        <w:rPr>
          <w:rFonts w:ascii="Calibri" w:hAnsi="Calibri" w:eastAsia="PingFang SC"/>
          <w:b/>
        </w:rPr>
        <w:t>RQ3：长程执行会不会让 agent 丢失或误用用户信息？</w:t>
      </w:r>
      <w:r>
        <w:rPr>
          <w:rFonts w:ascii="Calibri" w:hAnsi="Calibri" w:eastAsia="PingFang SC"/>
        </w:rPr>
        <w:t xml:space="preserve"> 当执行变长、工具结果和专业材料增多、发生子 agent 交接或出现上下文噪声时，agent 是否会没获取到用户信息、记不住、知道但不用、处理错冲突，或在无关处过度个性化？</w:t>
      </w:r>
    </w:p>
    <w:p>
      <w:r>
        <w:rPr>
          <w:rFonts w:ascii="Calibri" w:hAnsi="Calibri" w:eastAsia="PingFang SC"/>
          <w:b/>
        </w:rPr>
        <w:t>RQ4：不同 agent 系统会以不同方式失败吗？</w:t>
      </w:r>
      <w:r>
        <w:rPr>
          <w:rFonts w:ascii="Calibri" w:hAnsi="Calibri" w:eastAsia="PingFang SC"/>
        </w:rPr>
        <w:t xml:space="preserve"> 商业 Deep Research、通用搜索 agent、多 agent、代码 agent 和开源系统，在获取、保持、规划、使用和更新用户信息时是否出现可重复的能力差异？</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以下任一结果都会削弱或否定核心主张：人类无法稳定判断两个用户需要什么不同结果；交换用户后适配分不下降；压力下的个性化下降完全等于整体质量下降；或 judge 无法在预设门槛上重现目标用户判断。如果出现这些结果，论文应缩小主张，而不是用更复杂的总分把问题遮住。</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30"/>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主流程。主榜先过共同质量门槛，再检查跨用户对角优势与跨 cue 稳健性；JudgeBench 独立验证自动评委。</w:t>
      </w:r>
    </w:p>
    <w:p>
      <w:pPr>
        <w:sectPr>
          <w:headerReference w:type="default" r:id="rId28"/>
          <w:footerReference w:type="default" r:id="rId29"/>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3">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4">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仍需单独建立 JudgeBench，验证评委能否识别用户特异价值，并排除长度、语气和显式复述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5">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25">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25">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7">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25">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JudgeBench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6">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7">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JudgeBench。它们既用于审计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8">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9">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40">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41">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42">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3">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4">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5">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6">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9">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50">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51">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52">
        <w:r>
          <w:rPr>
            <w:rFonts w:ascii="Calibri" w:hAnsi="Calibri" w:eastAsia="PingFang SC"/>
            <w:color w:val="2E74B5"/>
            <w:u w:val="single"/>
          </w:rPr>
          <w:t>[19]</w:t>
        </w:r>
      </w:hyperlink>
      <w:hyperlink r:id="rId53">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4">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5">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6">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7">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58">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9">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60">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61">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5">
        <w:r>
          <w:rPr>
            <w:rFonts w:ascii="Calibri" w:hAnsi="Calibri" w:eastAsia="PingFang SC"/>
            <w:color w:val="2E74B5"/>
            <w:u w:val="single"/>
          </w:rPr>
          <w:t>[26]</w:t>
        </w:r>
      </w:hyperlink>
      <w:hyperlink r:id="rId56">
        <w:r>
          <w:rPr>
            <w:rFonts w:ascii="Calibri" w:hAnsi="Calibri" w:eastAsia="PingFang SC"/>
            <w:color w:val="2E74B5"/>
            <w:u w:val="single"/>
          </w:rPr>
          <w:t>[27]</w:t>
        </w:r>
      </w:hyperlink>
      <w:hyperlink r:id="rId57">
        <w:r>
          <w:rPr>
            <w:rFonts w:ascii="Calibri" w:hAnsi="Calibri" w:eastAsia="PingFang SC"/>
            <w:color w:val="2E74B5"/>
            <w:u w:val="single"/>
          </w:rPr>
          <w:t>[28]</w:t>
        </w:r>
      </w:hyperlink>
      <w:hyperlink r:id="rId58">
        <w:r>
          <w:rPr>
            <w:rFonts w:ascii="Calibri" w:hAnsi="Calibri" w:eastAsia="PingFang SC"/>
            <w:color w:val="2E74B5"/>
            <w:u w:val="single"/>
          </w:rPr>
          <w:t>[29]</w:t>
        </w:r>
      </w:hyperlink>
      <w:hyperlink r:id="rId59">
        <w:r>
          <w:rPr>
            <w:rFonts w:ascii="Calibri" w:hAnsi="Calibri" w:eastAsia="PingFang SC"/>
            <w:color w:val="2E74B5"/>
            <w:u w:val="single"/>
          </w:rPr>
          <w:t>[30]</w:t>
        </w:r>
      </w:hyperlink>
      <w:hyperlink r:id="rId60">
        <w:r>
          <w:rPr>
            <w:rFonts w:ascii="Calibri" w:hAnsi="Calibri" w:eastAsia="PingFang SC"/>
            <w:color w:val="2E74B5"/>
            <w:u w:val="single"/>
          </w:rPr>
          <w:t>[31]</w:t>
        </w:r>
      </w:hyperlink>
      <w:hyperlink r:id="rId61">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25">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11">
              <w:r>
                <w:rPr>
                  <w:rFonts w:ascii="Calibri" w:hAnsi="Calibri" w:eastAsia="PingFang SC"/>
                  <w:color w:val="2E74B5"/>
                  <w:u w:val="single"/>
                  <w:sz w:val="18"/>
                  <w:szCs w:val="18"/>
                </w:rPr>
                <w:t>[33]</w:t>
              </w:r>
            </w:hyperlink>
            <w:hyperlink r:id="rId12">
              <w:r>
                <w:rPr>
                  <w:rFonts w:ascii="Calibri" w:hAnsi="Calibri" w:eastAsia="PingFang SC"/>
                  <w:color w:val="2E74B5"/>
                  <w:u w:val="single"/>
                  <w:sz w:val="18"/>
                  <w:szCs w:val="18"/>
                </w:rPr>
                <w:t>[35]</w:t>
              </w:r>
            </w:hyperlink>
            <w:hyperlink r:id="rId19">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13">
              <w:r>
                <w:rPr>
                  <w:rFonts w:ascii="Calibri" w:hAnsi="Calibri" w:eastAsia="PingFang SC"/>
                  <w:color w:val="2E74B5"/>
                  <w:u w:val="single"/>
                  <w:sz w:val="18"/>
                  <w:szCs w:val="18"/>
                </w:rPr>
                <w:t>[34]</w:t>
              </w:r>
            </w:hyperlink>
            <w:hyperlink r:id="rId14">
              <w:r>
                <w:rPr>
                  <w:rFonts w:ascii="Calibri" w:hAnsi="Calibri" w:eastAsia="PingFang SC"/>
                  <w:color w:val="2E74B5"/>
                  <w:u w:val="single"/>
                  <w:sz w:val="18"/>
                  <w:szCs w:val="18"/>
                </w:rPr>
                <w:t>[37]</w:t>
              </w:r>
            </w:hyperlink>
            <w:hyperlink r:id="rId15">
              <w:r>
                <w:rPr>
                  <w:rFonts w:ascii="Calibri" w:hAnsi="Calibri" w:eastAsia="PingFang SC"/>
                  <w:color w:val="2E74B5"/>
                  <w:u w:val="single"/>
                  <w:sz w:val="18"/>
                  <w:szCs w:val="18"/>
                </w:rPr>
                <w:t>[38]</w:t>
              </w:r>
            </w:hyperlink>
            <w:hyperlink r:id="rId17">
              <w:r>
                <w:rPr>
                  <w:rFonts w:ascii="Calibri" w:hAnsi="Calibri" w:eastAsia="PingFang SC"/>
                  <w:color w:val="2E74B5"/>
                  <w:u w:val="single"/>
                  <w:sz w:val="18"/>
                  <w:szCs w:val="18"/>
                </w:rPr>
                <w:t>[48]</w:t>
              </w:r>
            </w:hyperlink>
            <w:hyperlink r:id="rId16">
              <w:r>
                <w:rPr>
                  <w:rFonts w:ascii="Calibri" w:hAnsi="Calibri" w:eastAsia="PingFang SC"/>
                  <w:color w:val="2E74B5"/>
                  <w:u w:val="single"/>
                  <w:sz w:val="18"/>
                  <w:szCs w:val="18"/>
                </w:rPr>
                <w:t>[49]</w:t>
              </w:r>
            </w:hyperlink>
            <w:hyperlink r:id="rId18">
              <w:r>
                <w:rPr>
                  <w:rFonts w:ascii="Calibri" w:hAnsi="Calibri" w:eastAsia="PingFang SC"/>
                  <w:color w:val="2E74B5"/>
                  <w:u w:val="single"/>
                  <w:sz w:val="18"/>
                  <w:szCs w:val="18"/>
                </w:rPr>
                <w:t>[50]</w:t>
              </w:r>
            </w:hyperlink>
            <w:hyperlink r:id="rId62">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3">
              <w:r>
                <w:rPr>
                  <w:rFonts w:ascii="Calibri" w:hAnsi="Calibri" w:eastAsia="PingFang SC"/>
                  <w:color w:val="2E74B5"/>
                  <w:u w:val="single"/>
                  <w:sz w:val="18"/>
                  <w:szCs w:val="18"/>
                </w:rPr>
                <w:t>[39]</w:t>
              </w:r>
            </w:hyperlink>
            <w:hyperlink r:id="rId20">
              <w:r>
                <w:rPr>
                  <w:rFonts w:ascii="Calibri" w:hAnsi="Calibri" w:eastAsia="PingFang SC"/>
                  <w:color w:val="2E74B5"/>
                  <w:u w:val="single"/>
                  <w:sz w:val="18"/>
                  <w:szCs w:val="18"/>
                </w:rPr>
                <w:t>[43]</w:t>
              </w:r>
            </w:hyperlink>
            <w:hyperlink r:id="rId21">
              <w:r>
                <w:rPr>
                  <w:rFonts w:ascii="Calibri" w:hAnsi="Calibri" w:eastAsia="PingFang SC"/>
                  <w:color w:val="2E74B5"/>
                  <w:u w:val="single"/>
                  <w:sz w:val="18"/>
                  <w:szCs w:val="18"/>
                </w:rPr>
                <w:t>[44]</w:t>
              </w:r>
            </w:hyperlink>
            <w:hyperlink r:id="rId22">
              <w:r>
                <w:rPr>
                  <w:rFonts w:ascii="Calibri" w:hAnsi="Calibri" w:eastAsia="PingFang SC"/>
                  <w:color w:val="2E74B5"/>
                  <w:u w:val="single"/>
                  <w:sz w:val="18"/>
                  <w:szCs w:val="18"/>
                </w:rPr>
                <w:t>[45]</w:t>
              </w:r>
            </w:hyperlink>
            <w:hyperlink r:id="rId23">
              <w:r>
                <w:rPr>
                  <w:rFonts w:ascii="Calibri" w:hAnsi="Calibri" w:eastAsia="PingFang SC"/>
                  <w:color w:val="2E74B5"/>
                  <w:u w:val="single"/>
                  <w:sz w:val="18"/>
                  <w:szCs w:val="18"/>
                </w:rPr>
                <w:t>[46]</w:t>
              </w:r>
            </w:hyperlink>
            <w:hyperlink r:id="rId24">
              <w:r>
                <w:rPr>
                  <w:rFonts w:ascii="Calibri" w:hAnsi="Calibri" w:eastAsia="PingFang SC"/>
                  <w:color w:val="2E74B5"/>
                  <w:u w:val="single"/>
                  <w:sz w:val="18"/>
                  <w:szCs w:val="18"/>
                </w:rPr>
                <w:t>[47]</w:t>
              </w:r>
            </w:hyperlink>
            <w:hyperlink r:id="rId6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25">
              <w:r>
                <w:rPr>
                  <w:rFonts w:ascii="Calibri" w:hAnsi="Calibri" w:eastAsia="PingFang SC"/>
                  <w:color w:val="2E74B5"/>
                  <w:u w:val="single"/>
                  <w:sz w:val="18"/>
                  <w:szCs w:val="18"/>
                </w:rPr>
                <w:t>[4]</w:t>
              </w:r>
            </w:hyperlink>
            <w:hyperlink r:id="rId26">
              <w:r>
                <w:rPr>
                  <w:rFonts w:ascii="Calibri" w:hAnsi="Calibri" w:eastAsia="PingFang SC"/>
                  <w:color w:val="2E74B5"/>
                  <w:u w:val="single"/>
                  <w:sz w:val="18"/>
                  <w:szCs w:val="18"/>
                </w:rPr>
                <w:t>[40]</w:t>
              </w:r>
            </w:hyperlink>
            <w:hyperlink r:id="rId27">
              <w:r>
                <w:rPr>
                  <w:rFonts w:ascii="Calibri" w:hAnsi="Calibri" w:eastAsia="PingFang SC"/>
                  <w:color w:val="2E74B5"/>
                  <w:u w:val="single"/>
                  <w:sz w:val="18"/>
                  <w:szCs w:val="18"/>
                </w:rPr>
                <w:t>[41]</w:t>
              </w:r>
            </w:hyperlink>
            <w:hyperlink r:id="rId65">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因此，论文不能把结论写成“我们比现有工作更全面”。真正的问题更窄：</w:t>
      </w:r>
      <w:r>
        <w:rPr>
          <w:rFonts w:ascii="Calibri" w:hAnsi="Calibri" w:eastAsia="PingFang SC"/>
          <w:b/>
        </w:rPr>
        <w:t>在广义 Deep Research 中，怎样从 task/persona-conditioned absolute adaptation evaluation 走向 counterfactual personalization effect identification？</w:t>
      </w:r>
      <w:r>
        <w:rPr>
          <w:rFonts w:ascii="Calibri" w:hAnsi="Calibri" w:eastAsia="PingFang SC"/>
        </w:rPr>
        <w:t xml:space="preserve"> 这 22 篇工作分别为信号来源、行动终点、时间状态、安全失败、cue 稳健性和 rubric 区分力提供设计依据。只有当跨用户对角优势与预冻结的 </w:t>
      </w:r>
      <w:r>
        <w:rPr>
          <w:rFonts w:ascii="Courier New" w:hAnsi="Courier New" w:eastAsia="PingFang SC"/>
          <w:color w:val="6A3E00"/>
          <w:sz w:val="20"/>
        </w:rPr>
        <w:t>must-change / must-hold / must-not</w:t>
      </w:r>
      <w:r>
        <w:rPr>
          <w:rFonts w:ascii="Calibri" w:hAnsi="Calibri" w:eastAsia="PingFang SC"/>
        </w:rPr>
        <w:t xml:space="preserve"> 同时成立时，DeepAlign 才形成核心方法贡献。跨线索稳健性、真人校准、长程算子和多交付物覆盖用于检验这项贡献是否可靠、能否推广。</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都要说明：测什么任务、在什么环境中运行、目标用户是谁、用户信息怎样提供、被测 agent 有哪些能力。这五组元数据组成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66">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behavioral operator + expected contract</w:t>
      </w:r>
      <w:r>
        <w:rPr>
          <w:rFonts w:ascii="Calibri" w:hAnsi="Calibri" w:eastAsia="PingFang SC"/>
        </w:rPr>
        <w:t>，而不只使用“长程个性化”这类模糊名称。例如，“Professional / Compare-Decide / live web / natural history / retrieval-memory agent / stale-conflict / Update”和“Everyday / Plan / frozen corpus / structured persona / no-memory agent / context-dilution / Preserve”是两个条件清楚、可以复现的测试。</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67">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68">
        <w:r>
          <w:rPr>
            <w:rFonts w:ascii="Calibri" w:hAnsi="Calibri" w:eastAsia="PingFang SC"/>
            <w:color w:val="2E74B5"/>
            <w:u w:val="single"/>
          </w:rPr>
          <w:t>[24]</w:t>
        </w:r>
      </w:hyperlink>
      <w:hyperlink r:id="rId69">
        <w:r>
          <w:rPr>
            <w:rFonts w:ascii="Calibri" w:hAnsi="Calibri" w:eastAsia="PingFang SC"/>
            <w:color w:val="2E74B5"/>
            <w:u w:val="single"/>
          </w:rPr>
          <w:t>[25]</w:t>
        </w:r>
      </w:hyperlink>
    </w:p>
    <w:p>
      <w:pPr>
        <w:pStyle w:val="Heading2"/>
      </w:pPr>
      <w:r>
        <w:t>4.1.1 任务立方体：Research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6"/>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6"/>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6"/>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6"/>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6"/>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6"/>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7"/>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7"/>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7"/>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7"/>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7"/>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7"/>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7"/>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7"/>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8"/>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8"/>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8"/>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8"/>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8"/>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8"/>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8"/>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8"/>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9"/>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9"/>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9"/>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9"/>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9"/>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9"/>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9"/>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9"/>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9"/>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两个月版本包含 </w:t>
      </w:r>
      <w:r>
        <w:rPr>
          <w:rFonts w:ascii="Calibri" w:hAnsi="Calibri" w:eastAsia="PingFang SC"/>
          <w:b/>
        </w:rPr>
        <w:t>24 个基础任务 family × 2 个强对比用户 = 48 个核心 user-task 实例</w:t>
      </w:r>
      <w:r>
        <w:rPr>
          <w:rFonts w:ascii="Calibri" w:hAnsi="Calibri" w:eastAsia="PingFang SC"/>
        </w:rPr>
        <w:t xml:space="preserve">。其中 18 个 family 先覆盖 </w:t>
      </w:r>
      <w:r>
        <w:rPr>
          <w:rFonts w:ascii="Courier New" w:hAnsi="Courier New" w:eastAsia="PingFang SC"/>
          <w:color w:val="6A3E00"/>
          <w:sz w:val="20"/>
        </w:rPr>
        <w:t>3 个使用情境 × 6 个研究意图</w:t>
      </w:r>
      <w:r>
        <w:rPr>
          <w:rFonts w:ascii="Calibri" w:hAnsi="Calibri" w:eastAsia="PingFang SC"/>
        </w:rPr>
        <w:t>，另外 6 个复测个性化效应预计最强、最弱或风险较高的单元。这个规模可以验证评价构念、信号渠道效应和典型失败，但不足以为 18 个单元分别给出稳定排名。论文必须明确这一限制。如果某个组合在现实中不自然，应标成结构性缺格，不能为了填满表格而编造任务。</w:t>
      </w:r>
    </w:p>
    <w:p>
      <w:r>
        <w:rPr>
          <w:rFonts w:ascii="Calibri" w:hAnsi="Calibri" w:eastAsia="PingFang SC"/>
        </w:rPr>
        <w:t>每个 family 都有完整 Atlas 元数据，但首版不会运行所有组合。核心矩阵只比较四种信号条件：</w:t>
      </w:r>
      <w:r>
        <w:rPr>
          <w:rFonts w:ascii="Courier New" w:hAnsi="Courier New" w:eastAsia="PingFang SC"/>
          <w:color w:val="6A3E00"/>
          <w:sz w:val="20"/>
        </w:rPr>
        <w:t>task-only / structured persona / semantic-equivalent natural history / clarification-allowed</w:t>
      </w:r>
      <w:r>
        <w:rPr>
          <w:rFonts w:ascii="Calibri" w:hAnsi="Calibri" w:eastAsia="PingFang SC"/>
        </w:rPr>
        <w:t>，并运行三类可比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上测试。设计目标是让每个对照能回答清楚的问题，而不是单纯增加运行数量。120 个任务、480 个 user-task 实例属于论文后的扩展路线，不写入两个月承诺。</w:t>
      </w:r>
    </w:p>
    <w:p>
      <w:r>
        <w:rPr>
          <w:rFonts w:ascii="Calibri" w:hAnsi="Calibri" w:eastAsia="PingFang SC"/>
          <w:b/>
        </w:rPr>
        <w:t>Anchor family 是承载压力测试的基础任务，不是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 xml:space="preserve"> 和 </w:t>
      </w:r>
      <w:r>
        <w:rPr>
          <w:rFonts w:ascii="Courier New" w:hAnsi="Courier New" w:eastAsia="PingFang SC"/>
          <w:color w:val="6A3E00"/>
          <w:sz w:val="20"/>
        </w:rPr>
        <w:t>must-hold</w:t>
      </w:r>
      <w:r>
        <w:rPr>
          <w:rFonts w:ascii="Calibri" w:hAnsi="Calibri" w:eastAsia="PingFang SC"/>
        </w:rPr>
        <w:t>。第二步再固定目标用户、任务、证据和预算，只对可见信号、上下文、agent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的目标用户判断稳定；证据快照可以复现；至少三类 agent 能完成同一交付接口；至少三种 stress operator 自然适用；共同质量可以由规则或证据 verifier 检查；任务不要求 benchmark 执行真实医疗、法律或金融交易。首版固定以下 8 种功能角色。具体题目可以替换，但不能在看到结果后更改覆盖角色：</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。每个 failure mode 至少在两个不同任务或交付物的 anchor 上测试；每个 anchor 只承担 3–4 个最自然的 mode；每个强扰动都有同 anchor、同前缀、同预算的 clean 或 light control。Anchor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为 8 个 anchor 编写事件脚本：初始用户信号、可选澄清回答、工具噪声、固定 handoff checkpoint、时间戳冲突和动态状态更新；</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的一种呈现方式</w:t>
      </w:r>
      <w:r>
        <w:rPr>
          <w:rFonts w:ascii="Calibri" w:hAnsi="Calibri" w:eastAsia="PingFang SC"/>
        </w:rPr>
        <w:t>。看起来真实、与任务不违和只是最低要求；如果某条 persona 信息不会改变可验证的任务要求，它就不能成为个性化真值。用户数据分三层：真实用户自述形成 gold 子集；真实需求经过隐私抽象后形成 user-anchored 主集；合成或扰动 persona 只用于负对照。研究者自行推断、但未经本人确认的事实不能进入 gold。</w:t>
      </w:r>
    </w:p>
    <w:p>
      <w:r>
        <w:rPr>
          <w:rFonts w:ascii="Calibri" w:hAnsi="Calibri" w:eastAsia="PingFang SC"/>
          <w:b/>
        </w:rPr>
        <w:t>构造时不先写完整人物，再寻找匹配任务。正确顺序是先看任务会产生什么决策后果，再保留最少但足够的用户状态：</w:t>
      </w:r>
    </w:p>
    <w:p>
      <w:pPr>
        <w:numPr>
          <w:ilvl w:val="0"/>
          <w:numId w:val="20"/>
        </w:numPr>
        <w:spacing w:after="80" w:line="290" w:lineRule="auto"/>
        <w:ind w:left="540" w:hanging="279"/>
      </w:pPr>
      <w:r>
        <w:rPr>
          <w:rFonts w:ascii="Calibri" w:hAnsi="Calibri" w:eastAsia="PingFang SC"/>
          <w:b/>
        </w:rPr>
        <w:t>从真实需求建立 source record。</w:t>
      </w:r>
      <w:r>
        <w:rPr>
          <w:rFonts w:ascii="Calibri" w:hAnsi="Calibri" w:eastAsia="PingFang SC"/>
        </w:rPr>
        <w:t xml:space="preserve"> 记录用户为何要做该研究、谁会使用结果、将采取什么决策；保存同意范围与隐私级别。</w:t>
      </w:r>
    </w:p>
    <w:p>
      <w:pPr>
        <w:numPr>
          <w:ilvl w:val="0"/>
          <w:numId w:val="20"/>
        </w:numPr>
        <w:spacing w:after="80" w:line="290" w:lineRule="auto"/>
        <w:ind w:left="540" w:hanging="279"/>
      </w:pPr>
      <w:r>
        <w:rPr>
          <w:rFonts w:ascii="Calibri" w:hAnsi="Calibri" w:eastAsia="PingFang SC"/>
          <w:b/>
        </w:rPr>
        <w:t>提取 task-relevant axes。</w:t>
      </w:r>
      <w:r>
        <w:rPr>
          <w:rFonts w:ascii="Calibri" w:hAnsi="Calibri" w:eastAsia="PingFang SC"/>
        </w:rPr>
        <w:t xml:space="preserve"> 只在 </w:t>
      </w:r>
      <w:r>
        <w:rPr>
          <w:rFonts w:ascii="Courier New" w:hAnsi="Courier New" w:eastAsia="PingFang SC"/>
          <w:color w:val="6A3E00"/>
          <w:sz w:val="20"/>
        </w:rPr>
        <w:t>goal / knowledge / hard constraint / risk-value / audience / permission / dynamic state</w:t>
      </w:r>
      <w:r>
        <w:rPr>
          <w:rFonts w:ascii="Calibri" w:hAnsi="Calibri" w:eastAsia="PingFang SC"/>
        </w:rPr>
        <w:t xml:space="preserve"> 中选择会改变交付物的字段；年龄、性别、职业等人口属性默认不进入差异真值。</w:t>
      </w:r>
    </w:p>
    <w:p>
      <w:pPr>
        <w:numPr>
          <w:ilvl w:val="0"/>
          <w:numId w:val="20"/>
        </w:numPr>
        <w:spacing w:after="80" w:line="290" w:lineRule="auto"/>
        <w:ind w:left="540" w:hanging="279"/>
      </w:pPr>
      <w:r>
        <w:rPr>
          <w:rFonts w:ascii="Calibri" w:hAnsi="Calibri" w:eastAsia="PingFang SC"/>
          <w:b/>
        </w:rPr>
        <w:t>先写 invariant user core。</w:t>
      </w:r>
      <w:r>
        <w:rPr>
          <w:rFonts w:ascii="Calibri" w:hAnsi="Calibri" w:eastAsia="PingFang SC"/>
        </w:rPr>
        <w:t xml:space="preserve"> Ua/Ub 共享提出该任务所需的背景、权限和事实；这保证两个用户都自然，而不是一个“正确 persona”和一个故意错配 persona。</w:t>
      </w:r>
    </w:p>
    <w:p>
      <w:pPr>
        <w:numPr>
          <w:ilvl w:val="0"/>
          <w:numId w:val="20"/>
        </w:numPr>
        <w:spacing w:after="80" w:line="290" w:lineRule="auto"/>
        <w:ind w:left="540" w:hanging="279"/>
      </w:pPr>
      <w:r>
        <w:rPr>
          <w:rFonts w:ascii="Calibri" w:hAnsi="Calibri" w:eastAsia="PingFang SC"/>
          <w:b/>
        </w:rPr>
        <w:t>做 minimal counterfactual edit。</w:t>
      </w:r>
      <w:r>
        <w:rPr>
          <w:rFonts w:ascii="Calibri" w:hAnsi="Calibri" w:eastAsia="PingFang SC"/>
        </w:rPr>
        <w:t xml:space="preserve"> 只改变 2–3 个有决策后果的 axes，并保持其他字段、信息量和表述长度尽量接近。例如同为医院项目负责人，只改变决策职责、技术知识和风险门槛，而不是把两人写成完全不同的故事。</w:t>
      </w:r>
    </w:p>
    <w:p>
      <w:pPr>
        <w:numPr>
          <w:ilvl w:val="0"/>
          <w:numId w:val="20"/>
        </w:numPr>
        <w:spacing w:after="80" w:line="290" w:lineRule="auto"/>
        <w:ind w:left="540" w:hanging="279"/>
      </w:pPr>
      <w:r>
        <w:rPr>
          <w:rFonts w:ascii="Calibri" w:hAnsi="Calibri" w:eastAsia="PingFang SC"/>
          <w:b/>
        </w:rPr>
        <w:t>建立 fact-to-contract map。</w:t>
      </w:r>
      <w:r>
        <w:rPr>
          <w:rFonts w:ascii="Calibri" w:hAnsi="Calibri" w:eastAsia="PingFang SC"/>
        </w:rPr>
        <w:t xml:space="preserve"> 每个差异事实必须至少映射到一个 </w:t>
      </w:r>
      <w:r>
        <w:rPr>
          <w:rFonts w:ascii="Courier New" w:hAnsi="Courier New" w:eastAsia="PingFang SC"/>
          <w:color w:val="6A3E00"/>
          <w:sz w:val="20"/>
        </w:rPr>
        <w:t>must-change</w:t>
      </w:r>
      <w:r>
        <w:rPr>
          <w:rFonts w:ascii="Calibri" w:hAnsi="Calibri" w:eastAsia="PingFang SC"/>
        </w:rPr>
        <w:t xml:space="preserve">；每个共享事实映射到 </w:t>
      </w:r>
      <w:r>
        <w:rPr>
          <w:rFonts w:ascii="Courier New" w:hAnsi="Courier New" w:eastAsia="PingFang SC"/>
          <w:color w:val="6A3E00"/>
          <w:sz w:val="20"/>
        </w:rPr>
        <w:t>must-hold</w:t>
      </w:r>
      <w:r>
        <w:rPr>
          <w:rFonts w:ascii="Calibri" w:hAnsi="Calibri" w:eastAsia="PingFang SC"/>
        </w:rPr>
        <w:t xml:space="preserve">；敏感、低置信度或禁止推断项映射到 </w:t>
      </w:r>
      <w:r>
        <w:rPr>
          <w:rFonts w:ascii="Courier New" w:hAnsi="Courier New" w:eastAsia="PingFang SC"/>
          <w:color w:val="6A3E00"/>
          <w:sz w:val="20"/>
        </w:rPr>
        <w:t>must-not / clarify-if-unknown</w:t>
      </w:r>
      <w:r>
        <w:rPr>
          <w:rFonts w:ascii="Calibri" w:hAnsi="Calibri" w:eastAsia="PingFang SC"/>
        </w:rPr>
        <w:t>。没有映射的事实从核心 persona 删除，或只作为 irrelevant control。</w:t>
      </w:r>
    </w:p>
    <w:p>
      <w:pPr>
        <w:numPr>
          <w:ilvl w:val="0"/>
          <w:numId w:val="20"/>
        </w:numPr>
        <w:spacing w:after="80" w:line="290" w:lineRule="auto"/>
        <w:ind w:left="540" w:hanging="279"/>
      </w:pPr>
      <w:r>
        <w:rPr>
          <w:rFonts w:ascii="Calibri" w:hAnsi="Calibri" w:eastAsia="PingFang SC"/>
          <w:b/>
        </w:rPr>
        <w:t>生成多个 signal views。</w:t>
      </w:r>
      <w:r>
        <w:rPr>
          <w:rFonts w:ascii="Calibri" w:hAnsi="Calibri" w:eastAsia="PingFang SC"/>
        </w:rPr>
        <w:t xml:space="preserve"> 从同一 ledger 编译 structured persona、自然历史、澄清回答、行为轨迹或 workspace evidence；用双人 semantic audit 检查这些 view 是否携带相同的 task-relevant 含义，而不是让 persona 条件天然信息更多。</w:t>
      </w:r>
    </w:p>
    <w:p>
      <w:pPr>
        <w:numPr>
          <w:ilvl w:val="0"/>
          <w:numId w:val="20"/>
        </w:numPr>
        <w:spacing w:after="80" w:line="290" w:lineRule="auto"/>
        <w:ind w:left="540" w:hanging="279"/>
      </w:pPr>
      <w:r>
        <w:rPr>
          <w:rFonts w:ascii="Calibri" w:hAnsi="Calibri" w:eastAsia="PingFang SC"/>
          <w:b/>
        </w:rPr>
        <w:t>加入负对照。</w:t>
      </w:r>
      <w:r>
        <w:rPr>
          <w:rFonts w:ascii="Calibri" w:hAnsi="Calibri" w:eastAsia="PingFang SC"/>
        </w:rPr>
        <w:t xml:space="preserve"> 制作 demographic-only、irrelevant attribute、wrong-user swap、stale/low-confidence 和 redacted view；它们不进入真实用户画像，只用于测无依据推断、过度个性化和隐私边界。</w:t>
      </w:r>
    </w:p>
    <w:p>
      <w:pPr>
        <w:numPr>
          <w:ilvl w:val="0"/>
          <w:numId w:val="20"/>
        </w:numPr>
        <w:spacing w:after="80" w:line="290" w:lineRule="auto"/>
        <w:ind w:left="540" w:hanging="279"/>
      </w:pPr>
      <w:r>
        <w:rPr>
          <w:rFonts w:ascii="Calibri" w:hAnsi="Calibri" w:eastAsia="PingFang SC"/>
          <w:b/>
        </w:rPr>
        <w:t>让人验证而不是让 LLM 自证。</w:t>
      </w:r>
      <w:r>
        <w:rPr>
          <w:rFonts w:ascii="Calibri" w:hAnsi="Calibri" w:eastAsia="PingFang SC"/>
        </w:rPr>
        <w:t xml:space="preserve"> 原用户确认事实和使用价值；另一名相似用户做 plausibility check；领域专家确认差异不会破坏专业正确性；盲评者用 reference matched/swapped 输出验证两套用户标准确实可区分。</w:t>
      </w:r>
    </w:p>
    <w:p>
      <w:r>
        <w:rPr>
          <w:rFonts w:ascii="Calibri" w:hAnsi="Calibri" w:eastAsia="PingFang SC"/>
        </w:rPr>
        <w:t xml:space="preserve">最终发布的不是一段未经控制的 biography，而是三个相互关联的对象：保存来源、但不公开或去标识的 </w:t>
      </w:r>
      <w:r>
        <w:rPr>
          <w:rFonts w:ascii="Courier New" w:hAnsi="Courier New" w:eastAsia="PingFang SC"/>
          <w:color w:val="6A3E00"/>
          <w:sz w:val="20"/>
        </w:rPr>
        <w:t>private provenance record</w:t>
      </w:r>
      <w:r>
        <w:rPr>
          <w:rFonts w:ascii="Calibri" w:hAnsi="Calibri" w:eastAsia="PingFang SC"/>
        </w:rPr>
        <w:t xml:space="preserve">；作为真值的 </w:t>
      </w:r>
      <w:r>
        <w:rPr>
          <w:rFonts w:ascii="Courier New" w:hAnsi="Courier New" w:eastAsia="PingFang SC"/>
          <w:color w:val="6A3E00"/>
          <w:sz w:val="20"/>
        </w:rPr>
        <w:t>versioned user-state ledger</w:t>
      </w:r>
      <w:r>
        <w:rPr>
          <w:rFonts w:ascii="Calibri" w:hAnsi="Calibri" w:eastAsia="PingFang SC"/>
        </w:rPr>
        <w:t xml:space="preserve">；以及 agent 实际看到的 </w:t>
      </w:r>
      <w:r>
        <w:rPr>
          <w:rFonts w:ascii="Courier New" w:hAnsi="Courier New" w:eastAsia="PingFang SC"/>
          <w:color w:val="6A3E00"/>
          <w:sz w:val="20"/>
        </w:rPr>
        <w:t>channel-specific signal view</w:t>
      </w:r>
      <w:r>
        <w:rPr>
          <w:rFonts w:ascii="Calibri" w:hAnsi="Calibri" w:eastAsia="PingFang SC"/>
        </w:rPr>
        <w:t>。这样既能保留真实性，也能追踪每条用户事实为什么应该影响某条 rubric。</w:t>
      </w:r>
    </w:p>
    <w:p>
      <w:r>
        <w:rPr>
          <w:rFonts w:ascii="Calibri" w:hAnsi="Calibri" w:eastAsia="PingFang SC"/>
        </w:rPr>
        <w:t>人类真值由两类人分别负责。领域专家或受训标注者判断共同事实、证据是否充分、</w:t>
      </w:r>
      <w:r>
        <w:rPr>
          <w:rFonts w:ascii="Courier New" w:hAnsi="Courier New" w:eastAsia="PingFang SC"/>
          <w:color w:val="6A3E00"/>
          <w:sz w:val="20"/>
        </w:rPr>
        <w:t>must-hold</w:t>
      </w:r>
      <w:r>
        <w:rPr>
          <w:rFonts w:ascii="Calibri" w:hAnsi="Calibri" w:eastAsia="PingFang SC"/>
        </w:rPr>
        <w:t xml:space="preserve"> 和客观任务完成情况；目标用户本人确认 </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must-not</w:t>
      </w:r>
      <w:r>
        <w:rPr>
          <w:rFonts w:ascii="Calibri" w:hAnsi="Calibri" w:eastAsia="PingFang SC"/>
        </w:rPr>
        <w:t xml:space="preserve"> 和可接受替代，并盲选 matched/swapped 交付物。真实用户 gold family 必须保留目标用户判断。User-anchored family 可以由原需求来源用户，或通过资格筛选的相似用户验证。纯合成 persona 只能进入压力测试和 judge 对抗集，不能单独支持“对真实用户有用”的结论。这一分工直接回应 MyScholarQA 发现的 synthetic-user 和 LLM-judge 漏检风险。</w:t>
      </w:r>
      <w:hyperlink r:id="rId27">
        <w:r>
          <w:rPr>
            <w:rFonts w:ascii="Calibri" w:hAnsi="Calibri" w:eastAsia="PingFang SC"/>
            <w:color w:val="2E74B5"/>
            <w:u w:val="single"/>
          </w:rPr>
          <w:t>[41]</w:t>
        </w:r>
      </w:hyperlink>
    </w:p>
    <w:p>
      <w:r>
        <w:rPr>
          <w:rFonts w:ascii="Calibri" w:hAnsi="Calibri" w:eastAsia="PingFang SC"/>
        </w:rPr>
        <w:t>每个 persona-task pairing 必须通过六项兼容性门：</w:t>
      </w:r>
    </w:p>
    <w:p>
      <w:pPr>
        <w:numPr>
          <w:ilvl w:val="0"/>
          <w:numId w:val="21"/>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21"/>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21"/>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21"/>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21"/>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21"/>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 DR 任务”不表示所有任务共用同一张评分表。统一的是叶节点格式和校准方法；具体评价项由 Atlas 元数据选择。对 case (c)，冻结后的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规定缺少关键信息时何时应提问或给条件分支。它们把用户事实、反事实输出和 judge 的具体判定直接连起来，比一个笼统的“个性化总分”更容易审计。</w:t>
      </w:r>
    </w:p>
    <w:p>
      <w:r>
        <w:rPr>
          <w:rFonts w:ascii="Calibri" w:hAnsi="Calibri" w:eastAsia="PingFang SC"/>
        </w:rPr>
        <w:t>Rubric compiler 必须接受四项覆盖校验：</w:t>
      </w:r>
    </w:p>
    <w:p>
      <w:pPr>
        <w:numPr>
          <w:ilvl w:val="0"/>
          <w:numId w:val="22"/>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2"/>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2"/>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2"/>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如果一个模块在人类之间无法稳定判断，或不能区分 matched 和 swapped 输出，就删除、合并或降为探索性分析，不能靠调整权重把它保留在主分中。Rubric 的通用性来自统一接口、明确的适用条件和跨类型校准，而不是让所有任务强行使用同一张表。</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 xml:space="preserve">每个叶节点都记录 ID、所属模块、类型、适用条件、可观察要求、证据来源、预期方向、权重、评分锚点、允许替代、适用用户、置信度、硬门槛、反事实对照和首选 verifier。机器可读字段包括 </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w:t>
      </w:r>
      <w:r>
        <w:rPr>
          <w:rFonts w:ascii="Courier New" w:hAnsi="Courier New" w:eastAsia="PingFang SC"/>
          <w:color w:val="6A3E00"/>
          <w:sz w:val="20"/>
        </w:rPr>
        <w:t>applicability_predicate</w:t>
      </w:r>
      <w:r>
        <w:rPr>
          <w:rFonts w:ascii="Calibri" w:hAnsi="Calibri" w:eastAsia="PingFang SC"/>
        </w:rPr>
        <w:t xml:space="preserve"> 等。正向项采用带文字锚点的 0/0.5/1 或 0/1/2；可以客观判断的项目尽量二元；违规项单独扣分，不使用含糊的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Fit Advantage）</w:t>
      </w:r>
      <w:r>
        <w:rPr>
          <w:rFonts w:ascii="Calibri" w:hAnsi="Calibri" w:eastAsia="PingFang SC"/>
        </w:rPr>
        <w:t>大于 0，表示两个用户分别更适合自己的交付物版本。但它不能解释模型为什么做到，也不能自动排除长度等干扰，因此还要报告：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对同一潜在 user-state 的语义等价 signal views，不把稳定性压成一个可被平均掩盖的总分，而同时报告：</w:t>
      </w:r>
    </w:p>
    <w:p>
      <w:pPr>
        <w:pStyle w:val="ListBullet"/>
      </w:pPr>
      <w:r>
        <w:rPr>
          <w:rFonts w:ascii="Calibri" w:hAnsi="Calibri" w:eastAsia="PingFang SC"/>
          <w:b/>
        </w:rPr>
        <w:t>Worst-view CFA</w:t>
      </w:r>
      <w:r>
        <w:rPr>
          <w:rFonts w:ascii="Calibri" w:hAnsi="Calibri" w:eastAsia="PingFang SC"/>
        </w:rPr>
        <w:t>：所有 signal views 中 CFA 的最小值，防止只挑最容易的显式 persona 形式；</w:t>
      </w:r>
    </w:p>
    <w:p>
      <w:pPr>
        <w:pStyle w:val="ListBullet"/>
      </w:pPr>
      <w:r>
        <w:rPr>
          <w:rFonts w:ascii="Calibri" w:hAnsi="Calibri" w:eastAsia="PingFang SC"/>
          <w:b/>
        </w:rPr>
        <w:t>Cue Gap</w:t>
      </w:r>
      <w:r>
        <w:rPr>
          <w:rFonts w:ascii="Calibri" w:hAnsi="Calibri" w:eastAsia="PingFang SC"/>
        </w:rPr>
        <w:t>：最高 CFA 与最低 CFA 之差，衡量结论对表达渠道/措辞的敏感度；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与自然对话历史之间的表现差；与 Cue Gap 分开报告，以区分渠道可用性和表面改写敏感性；</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主结果使用按基础任务聚类的 bootstrap 95% 置信区间。模型比较使用交叉分类混合效应模型，至少包含 agent、用户信息渠道、压力强度及其交互，并为基础任务和用户设置随机截距。多重比较使用 Holm 校正。除平均数外，还报告中位数、最差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23"/>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23"/>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23"/>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23"/>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23"/>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，并按 rubric module、任务意图、信号渠道和 agent 分层。至少一半来自真实模型输出；其余是专门设计的对抗改写，包括只改变长度、语气或位置，堆砌 persona 关键词，修正事实但降低文风，泄露隐私，正确弃权，以及引用不支持。关键或争议单元由 3 人评分；其余先由两人独立标注，有分歧再仲裁。涉及目标用户特异价值的项目，必须包含目标用户本人或其明确授权代理的判断。600 个以上的单元留给后续 scorer 训练和发布版校准。</w:t>
      </w:r>
    </w:p>
    <w:p>
      <w:r>
        <w:rPr>
          <w:rFonts w:ascii="Calibri" w:hAnsi="Calibri" w:eastAsia="PingFang SC"/>
        </w:rPr>
        <w:t>Judge 只有通过预注册门槛才能进入主榜：pairwise accuracy ≥ 0.75；加权 κ 或 Krippendorff’s α ≥ 0.60；交换 A/B 位置后的结论翻转率 ≤ 0.05；不同用户群的准确率差不超过 0.10；标量分的校准误差和平均绝对误差优于简单基线。如果关键切片未达标，就改用人评或只发布粗粒度二元指标，不能用多个 judge 投票掩盖它们的共同偏差。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的训练数据不能只有“人工 0/1 标签 + GPT 生成理由”。每个单元至少应包含冻结的 rubric 叶节点和评分锚点、人工 gold label、交付物中的 evidence span、错误类型、置信度或弃权标记，以及经过抽检的解释。GPT 在知道 gold label 后生成的 reason 只是</w:t>
      </w:r>
      <w:r>
        <w:rPr>
          <w:rFonts w:ascii="Calibri" w:hAnsi="Calibri" w:eastAsia="PingFang SC"/>
          <w:b/>
        </w:rPr>
        <w:t>标签条件下的解释蒸馏</w:t>
      </w:r>
      <w:r>
        <w:rPr>
          <w:rFonts w:ascii="Calibri" w:hAnsi="Calibri" w:eastAsia="PingFang SC"/>
        </w:rPr>
        <w:t>，不是新的 ground truth；它可能只是流畅的事后解释。隐私、硬门槛和争议项仍需人写或人审理由。</w:t>
      </w:r>
    </w:p>
    <w:p>
      <w:r>
        <w:rPr>
          <w:rFonts w:ascii="Calibri" w:hAnsi="Calibri" w:eastAsia="PingFang SC"/>
        </w:rPr>
        <w:t xml:space="preserve">JudgeBench 比较三种方案：强通用 prompted judge；用 </w:t>
      </w:r>
      <w:r>
        <w:rPr>
          <w:rFonts w:ascii="Courier New" w:hAnsi="Courier New" w:eastAsia="PingFang SC"/>
          <w:color w:val="6A3E00"/>
          <w:sz w:val="20"/>
        </w:rPr>
        <w:t>label + evidence + reason</w:t>
      </w:r>
      <w:r>
        <w:rPr>
          <w:rFonts w:ascii="Calibri" w:hAnsi="Calibri" w:eastAsia="PingFang SC"/>
        </w:rPr>
        <w:t xml:space="preserve"> 监督的 SFT leaf scorer；以及两者的级联。训练、验证和测试按 task family、目标用户、被测 agent 和时间分组，同一 counterfactual family 不能跨 split。除了 accuracy、macro-F1 和 κ/α，还要报告 Brier/ECE 校准、位置翻转率、长度与格式偏差、用户群差距、弃权的选择性风险、跨 family/agent 泛化、成本和延迟。</w:t>
      </w:r>
      <w:hyperlink r:id="rId47">
        <w:r>
          <w:rPr>
            <w:rFonts w:ascii="Calibri" w:hAnsi="Calibri" w:eastAsia="PingFang SC"/>
            <w:color w:val="2E74B5"/>
            <w:u w:val="single"/>
          </w:rPr>
          <w:t>[14]</w:t>
        </w:r>
      </w:hyperlink>
      <w:hyperlink r:id="rId48">
        <w:r>
          <w:rPr>
            <w:rFonts w:ascii="Calibri" w:hAnsi="Calibri" w:eastAsia="PingFang SC"/>
            <w:color w:val="2E74B5"/>
            <w:u w:val="single"/>
          </w:rPr>
          <w:t>[15]</w:t>
        </w:r>
      </w:hyperlink>
      <w:hyperlink r:id="rId49">
        <w:r>
          <w:rPr>
            <w:rFonts w:ascii="Calibri" w:hAnsi="Calibri" w:eastAsia="PingFang SC"/>
            <w:color w:val="2E74B5"/>
            <w:u w:val="single"/>
          </w:rPr>
          <w:t>[16]</w:t>
        </w:r>
      </w:hyperlink>
    </w:p>
    <w:p>
      <w:r>
        <w:rPr>
          <w:rFonts w:ascii="Calibri" w:hAnsi="Calibri" w:eastAsia="PingFang SC"/>
        </w:rPr>
        <w:t>两个月主线固定为：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。只有第 4 周前完成 240 个高质量判分单元，而且主实验流水线没有阻塞，才启动 SFT scorer。它默认只进入附录中的学习曲线和效率实验，不负责主榜。未来发布版可以改为 </w:t>
      </w:r>
      <w:r>
        <w:rPr>
          <w:rFonts w:ascii="Courier New" w:hAnsi="Courier New" w:eastAsia="PingFang SC"/>
          <w:color w:val="6A3E00"/>
          <w:sz w:val="20"/>
        </w:rPr>
        <w:t>verifier → SFT 高置信分流 → 强 judge 复核 → 人类仲裁</w:t>
      </w:r>
      <w:r>
        <w:rPr>
          <w:rFonts w:ascii="Calibri" w:hAnsi="Calibri" w:eastAsia="PingFang SC"/>
        </w:rPr>
        <w:t>。这样不会让一个尚未证明泛化能力的 scorer 占用核心数据构建和论文写作时间。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Specialized production agent</w:t>
      </w:r>
      <w:r>
        <w:rPr>
          <w:rFonts w:ascii="Calibri" w:hAnsi="Calibri" w:eastAsia="PingFang SC"/>
        </w:rPr>
        <w:t>：Codex、Claude Code（CC）、CodeBuddy 等，只在代码/多文件 anchor 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r>
        <w:rPr>
          <w:rFonts w:ascii="Calibri" w:hAnsi="Calibri" w:eastAsia="PingFang SC"/>
        </w:rPr>
        <w:t>M1–M3 是主论文的三类核心系统；M4–M6 是</w:t>
      </w:r>
      <w:r>
        <w:rPr>
          <w:rFonts w:ascii="Calibri" w:hAnsi="Calibri" w:eastAsia="PingFang SC"/>
          <w:b/>
        </w:rPr>
        <w:t>架构 probe</w:t>
      </w:r>
      <w:r>
        <w:rPr>
          <w:rFonts w:ascii="Calibri" w:hAnsi="Calibri" w:eastAsia="PingFang SC"/>
        </w:rPr>
        <w:t>，用于解释哪些模式在何种任务和 failure mode 上有优势，不能因只跑适用 anchor 就加入全任务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4"/>
        </w:numPr>
        <w:spacing w:after="80" w:line="290" w:lineRule="auto"/>
        <w:ind w:left="540" w:hanging="279"/>
      </w:pPr>
      <w:r>
        <w:rPr>
          <w:rFonts w:ascii="Calibri" w:hAnsi="Calibri" w:eastAsia="PingFang SC"/>
        </w:rPr>
        <w:t>Task only；</w:t>
      </w:r>
    </w:p>
    <w:p>
      <w:pPr>
        <w:numPr>
          <w:ilvl w:val="0"/>
          <w:numId w:val="24"/>
        </w:numPr>
        <w:spacing w:after="80" w:line="290" w:lineRule="auto"/>
        <w:ind w:left="540" w:hanging="279"/>
      </w:pPr>
      <w:r>
        <w:rPr>
          <w:rFonts w:ascii="Calibri" w:hAnsi="Calibri" w:eastAsia="PingFang SC"/>
        </w:rPr>
        <w:t>Oracle structured persona；</w:t>
      </w:r>
    </w:p>
    <w:p>
      <w:pPr>
        <w:numPr>
          <w:ilvl w:val="0"/>
          <w:numId w:val="24"/>
        </w:numPr>
        <w:spacing w:after="80" w:line="290" w:lineRule="auto"/>
        <w:ind w:left="540" w:hanging="279"/>
      </w:pPr>
      <w:r>
        <w:rPr>
          <w:rFonts w:ascii="Calibri" w:hAnsi="Calibri" w:eastAsia="PingFang SC"/>
        </w:rPr>
        <w:t>语义等价的自然对话历史；</w:t>
      </w:r>
    </w:p>
    <w:p>
      <w:pPr>
        <w:numPr>
          <w:ilvl w:val="0"/>
          <w:numId w:val="24"/>
        </w:numPr>
        <w:spacing w:after="80" w:line="290" w:lineRule="auto"/>
        <w:ind w:left="540" w:hanging="279"/>
      </w:pPr>
      <w:r>
        <w:rPr>
          <w:rFonts w:ascii="Calibri" w:hAnsi="Calibri" w:eastAsia="PingFang SC"/>
        </w:rPr>
        <w:t>历史 + 检索式 memory；</w:t>
      </w:r>
    </w:p>
    <w:p>
      <w:pPr>
        <w:numPr>
          <w:ilvl w:val="0"/>
          <w:numId w:val="24"/>
        </w:numPr>
        <w:spacing w:after="80" w:line="290" w:lineRule="auto"/>
        <w:ind w:left="540" w:hanging="279"/>
      </w:pPr>
      <w:r>
        <w:rPr>
          <w:rFonts w:ascii="Calibri" w:hAnsi="Calibri" w:eastAsia="PingFang SC"/>
        </w:rPr>
        <w:t>主动澄清；</w:t>
      </w:r>
    </w:p>
    <w:p>
      <w:pPr>
        <w:numPr>
          <w:ilvl w:val="0"/>
          <w:numId w:val="24"/>
        </w:numPr>
        <w:spacing w:after="80" w:line="290" w:lineRule="auto"/>
        <w:ind w:left="540" w:hanging="279"/>
      </w:pPr>
      <w:r>
        <w:rPr>
          <w:rFonts w:ascii="Calibri" w:hAnsi="Calibri" w:eastAsia="PingFang SC"/>
        </w:rPr>
        <w:t>Persona shuffled（目标用户不变、只交换可见 signal bundle 的负对照）；</w:t>
      </w:r>
    </w:p>
    <w:p>
      <w:pPr>
        <w:numPr>
          <w:ilvl w:val="0"/>
          <w:numId w:val="24"/>
        </w:numPr>
        <w:spacing w:after="80" w:line="290" w:lineRule="auto"/>
        <w:ind w:left="540" w:hanging="279"/>
      </w:pPr>
      <w:r>
        <w:rPr>
          <w:rFonts w:ascii="Calibri" w:hAnsi="Calibri" w:eastAsia="PingFang SC"/>
        </w:rPr>
        <w:t>Irrelevant persona（无关属性，过度个性化探针）；</w:t>
      </w:r>
    </w:p>
    <w:p>
      <w:pPr>
        <w:numPr>
          <w:ilvl w:val="0"/>
          <w:numId w:val="24"/>
        </w:numPr>
        <w:spacing w:after="80" w:line="290" w:lineRule="auto"/>
        <w:ind w:left="540" w:hanging="279"/>
      </w:pPr>
      <w:r>
        <w:rPr>
          <w:rFonts w:ascii="Calibri" w:hAnsi="Calibri" w:eastAsia="PingFang SC"/>
        </w:rPr>
        <w:t>Contradictory/dated history（冲突与时效）；</w:t>
      </w:r>
    </w:p>
    <w:p>
      <w:pPr>
        <w:numPr>
          <w:ilvl w:val="0"/>
          <w:numId w:val="24"/>
        </w:numPr>
        <w:spacing w:after="80" w:line="290" w:lineRule="auto"/>
        <w:ind w:left="540" w:hanging="279"/>
      </w:pPr>
      <w:r>
        <w:rPr>
          <w:rFonts w:ascii="Calibri" w:hAnsi="Calibri" w:eastAsia="PingFang SC"/>
        </w:rPr>
        <w:t>Context dilution（不同长度和位置）；</w:t>
      </w:r>
    </w:p>
    <w:p>
      <w:pPr>
        <w:numPr>
          <w:ilvl w:val="0"/>
          <w:numId w:val="24"/>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agent，最多形成 576 个核心 episode。8 个 anchor family 再运行预注册的错配、无关信息、冲突或过期、长上下文稀释和动态更新子集。主矩阵每格先跑 1 个 seed，约 20% 的分层样本再跑第二个 seed，在重复性和任务覆盖之间做取舍。人评至少覆盖 20% 输出，并仲裁所有关键失败和 judge 分歧。所有 real-user-gold family 以及不少于 8 个分层 family 必须收集目标用户的 matched/swapped 盲评，不能由通用标注者代替。</w:t>
      </w:r>
    </w:p>
    <w:p>
      <w:r>
        <w:rPr>
          <w:rFonts w:ascii="Calibri" w:hAnsi="Calibri" w:eastAsia="PingFang SC"/>
        </w:rPr>
        <w:t xml:space="preserve">核心系统包括：一个商业 Deep Research 产品、一个在统一搜索和工具 harness 中运行的通用 agent、一个可复现的开源 Deep Research agent。代码 agent、多 agent、记忆增强系统和第二个商业产品只在适合的 anchor family 上测试，用来检查外部效度；不会强迫所有系统完成不适用的任务。每个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5"/>
        </w:numPr>
        <w:spacing w:after="80" w:line="290" w:lineRule="auto"/>
        <w:ind w:left="540" w:hanging="279"/>
      </w:pPr>
      <w:r>
        <w:rPr>
          <w:rFonts w:ascii="Calibri" w:hAnsi="Calibri" w:eastAsia="PingFang SC"/>
          <w:b/>
        </w:rPr>
        <w:t>Base capability board</w:t>
      </w:r>
      <w:r>
        <w:rPr>
          <w:rFonts w:ascii="Calibri" w:hAnsi="Calibri" w:eastAsia="PingFang SC"/>
        </w:rPr>
        <w:t xml:space="preserve">：在 S0 clean、TQ/FR 过门条件下，按 </w:t>
      </w:r>
      <w:r>
        <w:rPr>
          <w:rFonts w:ascii="Courier New" w:hAnsi="Courier New" w:eastAsia="PingFang SC"/>
          <w:color w:val="6A3E00"/>
          <w:sz w:val="20"/>
        </w:rPr>
        <w:t>3 strata × 6 intents × deliverable</w:t>
      </w:r>
      <w:r>
        <w:rPr>
          <w:rFonts w:ascii="Calibri" w:hAnsi="Calibri" w:eastAsia="PingFang SC"/>
        </w:rPr>
        <w:t xml:space="preserve"> 报 PF、CFA 和成本；回答系统在哪类任务能做个性化。</w:t>
      </w:r>
    </w:p>
    <w:p>
      <w:pPr>
        <w:numPr>
          <w:ilvl w:val="0"/>
          <w:numId w:val="25"/>
        </w:numPr>
        <w:spacing w:after="80" w:line="290" w:lineRule="auto"/>
        <w:ind w:left="540" w:hanging="279"/>
      </w:pPr>
      <w:r>
        <w:rPr>
          <w:rFonts w:ascii="Calibri" w:hAnsi="Calibri" w:eastAsia="PingFang SC"/>
          <w:b/>
        </w:rPr>
        <w:t>Signal acquisition board</w:t>
      </w:r>
      <w:r>
        <w:rPr>
          <w:rFonts w:ascii="Calibri" w:hAnsi="Calibri" w:eastAsia="PingFang SC"/>
        </w:rPr>
        <w:t>：按 structured persona、natural history、clarification、workspace/history 报 Worst-view CFA、Cue Gap 和 Clarification Value；回答系统需要多显式的用户信息。</w:t>
      </w:r>
    </w:p>
    <w:p>
      <w:pPr>
        <w:numPr>
          <w:ilvl w:val="0"/>
          <w:numId w:val="25"/>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5"/>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adaptation。它在同一 query 下比较不同 agent 报告，回答“对这个用户哪份报告更好”。DeepAlign 的核心方法增量是：在同一 task/evidence 下构造跨用户 2×2 矩阵 </w:t>
      </w:r>
      <w:r>
        <w:rPr>
          <w:rFonts w:ascii="Courier New" w:hAnsi="Courier New" w:eastAsia="PingFang SC"/>
          <w:color w:val="6A3E00"/>
          <w:sz w:val="20"/>
        </w:rPr>
        <w:t>M[i,j] = PF_i(Y_j)</w:t>
      </w:r>
      <w:r>
        <w:rPr>
          <w:rFonts w:ascii="Calibri" w:hAnsi="Calibri" w:eastAsia="PingFang SC"/>
        </w:rPr>
        <w:t xml:space="preserve">，再用 </w:t>
      </w:r>
      <w:r>
        <w:rPr>
          <w:rFonts w:ascii="Courier New" w:hAnsi="Courier New" w:eastAsia="PingFang SC"/>
          <w:color w:val="6A3E00"/>
          <w:sz w:val="20"/>
        </w:rPr>
        <w:t>must-change / must-hold / must-not</w:t>
      </w:r>
      <w:r>
        <w:rPr>
          <w:rFonts w:ascii="Calibri" w:hAnsi="Calibri" w:eastAsia="PingFang SC"/>
        </w:rPr>
        <w:t xml:space="preserve"> 判断 counterfactual personalization effect。测量方面，DeepAlign 针对 PDR 已报告的 PCA=0.43、较窄校准样本、两层动态 rubric、复合事实核验链和补偿式聚合，增加目标用户盲评、criterion versioning、hard gate 和 JudgeBench。更多任务、agent 和 stress 只扩大外部效度，不单独构成方法创新。</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JudgeBench。对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1"/>
      </w:pPr>
      <w:r>
        <w:t>12. 预期贡献、成功标准与发表边界</w:t>
      </w:r>
    </w:p>
    <w:p>
      <w:pPr>
        <w:pStyle w:val="Heading2"/>
      </w:pPr>
      <w:r>
        <w:t>12.1 预期贡献</w:t>
      </w:r>
    </w:p>
    <w:p>
      <w:pPr>
        <w:numPr>
          <w:ilvl w:val="0"/>
          <w:numId w:val="26"/>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6"/>
        </w:numPr>
        <w:spacing w:after="80" w:line="290" w:lineRule="auto"/>
        <w:ind w:left="540" w:hanging="279"/>
      </w:pPr>
      <w:r>
        <w:rPr>
          <w:rFonts w:ascii="Calibri" w:hAnsi="Calibri" w:eastAsia="PingFang SC"/>
          <w:b/>
        </w:rPr>
        <w:t>核心方法贡献：</w:t>
      </w:r>
      <w:r>
        <w:rPr>
          <w:rFonts w:ascii="Calibri" w:hAnsi="Calibri" w:eastAsia="PingFang SC"/>
        </w:rPr>
        <w:t>从 absolute adaptation evaluation 转向 counterfactual personalization effect identification；以跨用户 matched/swapped 矩阵估计效应，并用预冻结 must-change/must-hold/must-not 区分必要变化、共同不变项与过度个性化；</w:t>
      </w:r>
    </w:p>
    <w:p>
      <w:pPr>
        <w:numPr>
          <w:ilvl w:val="0"/>
          <w:numId w:val="26"/>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6"/>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6"/>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6"/>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discrimination、cue-equivalence robustness 和无关信息 invariance 四项中的适用检查；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leaderboard、代码 agent 全覆盖和 120-task 扩表都不能阻塞论文。成本分别记录目标用户与专家、人评、商业 agent、搜索抓取、存储和隐私审计，并在第 1 周确定 episode 上限。</w:t>
      </w:r>
    </w:p>
    <w:p>
      <w:pPr>
        <w:pStyle w:val="Heading1"/>
      </w:pPr>
      <w:r>
        <w:t>14. 建议的论文结构（仿 Agent-SafetyBench 的信息组织，但突出差异）</w:t>
      </w:r>
    </w:p>
    <w:p>
      <w:pPr>
        <w:numPr>
          <w:ilvl w:val="0"/>
          <w:numId w:val="27"/>
        </w:numPr>
        <w:spacing w:after="80" w:line="290" w:lineRule="auto"/>
        <w:ind w:left="540" w:hanging="279"/>
      </w:pPr>
      <w:r>
        <w:rPr>
          <w:rFonts w:ascii="Calibri" w:hAnsi="Calibri" w:eastAsia="PingFang SC"/>
          <w:b/>
        </w:rPr>
        <w:t>Introduction</w:t>
      </w:r>
      <w:r>
        <w:rPr>
          <w:rFonts w:ascii="Calibri" w:hAnsi="Calibri" w:eastAsia="PingFang SC"/>
        </w:rPr>
        <w:t>：通用 DR 测“好不好”，PDR-Bench 已建立 task/persona 条件下的 absolute adaptation evaluation；本文把 estimand 转向跨用户 counterfactual personalization effect，并以三类预冻结契约界定有效变化。</w:t>
      </w:r>
    </w:p>
    <w:p>
      <w:pPr>
        <w:numPr>
          <w:ilvl w:val="0"/>
          <w:numId w:val="27"/>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7"/>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7"/>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contract、CFA/NPF/Retention/Update、强 judge—人类校准与 JudgeBench。</w:t>
      </w:r>
    </w:p>
    <w:p>
      <w:pPr>
        <w:numPr>
          <w:ilvl w:val="0"/>
          <w:numId w:val="27"/>
        </w:numPr>
        <w:spacing w:after="80" w:line="290" w:lineRule="auto"/>
        <w:ind w:left="540" w:hanging="279"/>
      </w:pPr>
      <w:r>
        <w:rPr>
          <w:rFonts w:ascii="Calibri" w:hAnsi="Calibri" w:eastAsia="PingFang SC"/>
          <w:b/>
        </w:rPr>
        <w:t>Experiments</w:t>
      </w:r>
      <w:r>
        <w:rPr>
          <w:rFonts w:ascii="Calibri" w:hAnsi="Calibri" w:eastAsia="PingFang SC"/>
        </w:rPr>
        <w:t>：agent 分层、信息条件、长程与动态压力、成本和统计协议。</w:t>
      </w:r>
    </w:p>
    <w:p>
      <w:pPr>
        <w:numPr>
          <w:ilvl w:val="0"/>
          <w:numId w:val="27"/>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7"/>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7"/>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7"/>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个功能性 anchor family 通过 S0–S3 压力阶梯承担错配、无关、冲突/过期、长程、交接和动态更新测试。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：M1 商业 Deep Research、M2 统一 harness、M3 开源 DRA 是核心系统；M4 code、M5 multi-agent、M6 memory-enhanced 只作 anchor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：首版只先验证一件核心事情：跨用户对照和三类预冻结契约能否稳定识别 counterfactual personalization effect。Ontology、信号渠道、长程算子、rubric compiler 和 JudgeBench 用来说明这套评价是否可运行、是否稳健、能否推广。论文不声称覆盖所有 DR 模式，也不为 18 个 task-cube 单元分别建立稳定排行榜。</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总览：从用户信号到可审计的个性化效应。</w:t>
      </w:r>
      <w:r>
        <w:rPr>
          <w:rFonts w:ascii="Calibri" w:hAnsi="Calibri" w:eastAsia="PingFang SC"/>
        </w:rPr>
        <w:t xml:space="preserve"> 使用从左到右的五段流程：</w:t>
      </w:r>
      <w:r>
        <w:rPr>
          <w:rFonts w:ascii="Courier New" w:hAnsi="Courier New" w:eastAsia="PingFang SC"/>
          <w:color w:val="6A3E00"/>
          <w:sz w:val="20"/>
        </w:rPr>
        <w:t>Task/Evidence + paired user state</w:t>
      </w:r>
      <w:r>
        <w:rPr>
          <w:rFonts w:ascii="Calibri" w:hAnsi="Calibri" w:eastAsia="PingFang SC"/>
        </w:rPr>
        <w:t xml:space="preserve"> → </w:t>
      </w:r>
      <w:r>
        <w:rPr>
          <w:rFonts w:ascii="Courier New" w:hAnsi="Courier New" w:eastAsia="PingFang SC"/>
          <w:color w:val="6A3E00"/>
          <w:sz w:val="20"/>
        </w:rPr>
        <w:t>signal view + execution environment</w:t>
      </w:r>
      <w:r>
        <w:rPr>
          <w:rFonts w:ascii="Calibri" w:hAnsi="Calibri" w:eastAsia="PingFang SC"/>
        </w:rPr>
        <w:t xml:space="preserve"> → </w:t>
      </w:r>
      <w:r>
        <w:rPr>
          <w:rFonts w:ascii="Courier New" w:hAnsi="Courier New" w:eastAsia="PingFang SC"/>
          <w:color w:val="6A3E00"/>
          <w:sz w:val="20"/>
        </w:rPr>
        <w:t>agent system</w:t>
      </w:r>
      <w:r>
        <w:rPr>
          <w:rFonts w:ascii="Calibri" w:hAnsi="Calibri" w:eastAsia="PingFang SC"/>
        </w:rPr>
        <w:t xml:space="preserve"> → </w:t>
      </w:r>
      <w:r>
        <w:rPr>
          <w:rFonts w:ascii="Courier New" w:hAnsi="Courier New" w:eastAsia="PingFang SC"/>
          <w:color w:val="6A3E00"/>
          <w:sz w:val="20"/>
        </w:rPr>
        <w:t>matched/swapped artifacts</w:t>
      </w:r>
      <w:r>
        <w:rPr>
          <w:rFonts w:ascii="Calibri" w:hAnsi="Calibri" w:eastAsia="PingFang SC"/>
        </w:rPr>
        <w:t xml:space="preserve"> → </w:t>
      </w:r>
      <w:r>
        <w:rPr>
          <w:rFonts w:ascii="Courier New" w:hAnsi="Courier New" w:eastAsia="PingFang SC"/>
          <w:color w:val="6A3E00"/>
          <w:sz w:val="20"/>
        </w:rPr>
        <w:t>TQ/FR gate + CFA/contracts + four leaderboard profiles</w:t>
      </w:r>
      <w:r>
        <w:rPr>
          <w:rFonts w:ascii="Calibri" w:hAnsi="Calibri" w:eastAsia="PingFang SC"/>
        </w:rPr>
        <w:t>。Atlas 五个平面放在顶部作为 case 条件带，S0–S3 anchor stress 与 JudgeBench 放在底部作为两条验证支线。这张图回答“benchmark 整体如何运行”，不塞入所有 taxonomy 叶节点。</w:t>
      </w:r>
    </w:p>
    <w:p>
      <w:r>
        <w:rPr>
          <w:rFonts w:ascii="Calibri" w:hAnsi="Calibri" w:eastAsia="PingFang SC"/>
          <w:b/>
        </w:rPr>
        <w:t>Figure 2 · 一个 counterfactual family 如何构造和评分。</w:t>
      </w:r>
      <w:r>
        <w:rPr>
          <w:rFonts w:ascii="Calibri" w:hAnsi="Calibri" w:eastAsia="PingFang SC"/>
        </w:rPr>
        <w:t xml:space="preserve"> 四个 panel：A 展示 Ua/Ub 的 invariant core 与 2–3 个 minimal user edits；B 展示同一 ledger 的 structured persona、natural history 和 clarification 三个语义等价 signal views；C 展示 </w:t>
      </w:r>
      <w:r>
        <w:rPr>
          <w:rFonts w:ascii="Courier New" w:hAnsi="Courier New" w:eastAsia="PingFang SC"/>
          <w:color w:val="6A3E00"/>
          <w:sz w:val="20"/>
        </w:rPr>
        <w:t>M[i,j] = PF_i(Y_j)</w:t>
      </w:r>
      <w:r>
        <w:rPr>
          <w:rFonts w:ascii="Calibri" w:hAnsi="Calibri" w:eastAsia="PingFang SC"/>
        </w:rPr>
        <w:t xml:space="preserve"> 的 2×2 交叉评分矩阵与 CFA；D 用一个具体 case 列出 must-change、must-hold、must-not 和 clarify-if-unknown。它把 persona 真值、输出变化和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PF_swapped</w:t>
      </w:r>
      <w:r>
        <w:rPr>
          <w:rFonts w:ascii="Calibri" w:hAnsi="Calibri" w:eastAsia="PingFang SC"/>
        </w:rPr>
        <w:t xml:space="preserve">、纵轴为 </w:t>
      </w:r>
      <w:r>
        <w:rPr>
          <w:rFonts w:ascii="Courier New" w:hAnsi="Courier New" w:eastAsia="PingFang SC"/>
          <w:color w:val="6A3E00"/>
          <w:sz w:val="20"/>
        </w:rPr>
        <w:t>PF_matched</w:t>
      </w:r>
      <w:r>
        <w:rPr>
          <w:rFonts w:ascii="Calibri" w:hAnsi="Calibri" w:eastAsia="PingFang SC"/>
        </w:rPr>
        <w:t xml:space="preserve">，45° 对角线表示没有跨用户优势；离对角线越远且位于上方，说明 matched 版本相对 swapped 版本的用户特异价值越强。点的实心/空心只表示是否通过 TQ/FR gate，不用颜色重复编码质量。B 用 forest/dot plot 报各 agent 的 CFA 与 95% CI，并按 E1/E2/E3 execution regime 分块；C 用统一色标的 </w:t>
      </w:r>
      <w:r>
        <w:rPr>
          <w:rFonts w:ascii="Courier New" w:hAnsi="Courier New" w:eastAsia="PingFang SC"/>
          <w:color w:val="6A3E00"/>
          <w:sz w:val="20"/>
        </w:rPr>
        <w:t>agent × (3 task strata × 6 research intents)</w:t>
      </w:r>
      <w:r>
        <w:rPr>
          <w:rFonts w:ascii="Calibri" w:hAnsi="Calibri" w:eastAsia="PingFang SC"/>
        </w:rPr>
        <w:t xml:space="preserve"> 嵌套 heatmap 报 CFA，缺测单元使用斜线并在底部报告样本量；D 只在可比 regime 内画 cost–CFA Pareto frontier。A 解释 estimand，B 给出不确定性，C 显示能力拓扑，D 报告效率；不能用雷达图或单一冠军分数替代这四类信息。</w:t>
      </w:r>
    </w:p>
    <w:p>
      <w:r>
        <w:rPr>
          <w:rFonts w:ascii="Calibri" w:hAnsi="Calibri" w:eastAsia="PingFang SC"/>
          <w:b/>
        </w:rPr>
        <w:t>Figure 4 · 信号渠道、压力和最终失败。</w:t>
      </w:r>
      <w:r>
        <w:rPr>
          <w:rFonts w:ascii="Calibri" w:hAnsi="Calibri" w:eastAsia="PingFang SC"/>
        </w:rPr>
        <w:t xml:space="preserve"> 四个 panel：A 用 </w:t>
      </w:r>
      <w:r>
        <w:rPr>
          <w:rFonts w:ascii="Courier New" w:hAnsi="Courier New" w:eastAsia="PingFang SC"/>
          <w:color w:val="6A3E00"/>
          <w:sz w:val="20"/>
        </w:rPr>
        <w:t>agent × signal view</w:t>
      </w:r>
      <w:r>
        <w:rPr>
          <w:rFonts w:ascii="Calibri" w:hAnsi="Calibri" w:eastAsia="PingFang SC"/>
        </w:rPr>
        <w:t xml:space="preserve"> heatmap 报 structured persona、natural history、clarification、workspace/history 等条件下的 CFA，并在最右两列报告 Worst-view CFA 与 Cue Gap；B 按 S0–S3 绘制各 agent 的 CFA retention curve，主文只画跨 anchor 汇总及置信区间，逐 anchor 曲线进入附录；C 按 agent 画 outcome-level failure 的堆叠横条，横条总长度是全部 episode 中的绝对失败率，而不是“已失败样本内部占比”；D 用 </w:t>
      </w:r>
      <w:r>
        <w:rPr>
          <w:rFonts w:ascii="Courier New" w:hAnsi="Courier New" w:eastAsia="PingFang SC"/>
          <w:color w:val="6A3E00"/>
          <w:sz w:val="20"/>
        </w:rPr>
        <w:t>anchor family × observed outcome failure</w:t>
      </w:r>
      <w:r>
        <w:rPr>
          <w:rFonts w:ascii="Calibri" w:hAnsi="Calibri" w:eastAsia="PingFang SC"/>
        </w:rPr>
        <w:t xml:space="preserve"> heatmap 显示哪类压力更容易触发用户盲、错误用户绑定、过度个性化、共同核心破坏、冲突/过期误用、隐私/权限和澄清失败，并单列 </w:t>
      </w:r>
      <w:r>
        <w:rPr>
          <w:rFonts w:ascii="Courier New" w:hAnsi="Courier New" w:eastAsia="PingFang SC"/>
          <w:color w:val="6A3E00"/>
          <w:sz w:val="20"/>
        </w:rPr>
        <w:t>other/emergent</w:t>
      </w:r>
      <w:r>
        <w:rPr>
          <w:rFonts w:ascii="Calibri" w:hAnsi="Calibri" w:eastAsia="PingFang SC"/>
        </w:rPr>
        <w:t>。主文不从最终交付物反推内部机制；只有具备可比 trace 的系统，才可在附录报告 acquisition、preservation、use 或 update 的过程证据。</w:t>
      </w:r>
    </w:p>
    <w:p>
      <w:r>
        <w:rPr>
          <w:rFonts w:ascii="Calibri" w:hAnsi="Calibri" w:eastAsia="PingFang SC"/>
          <w:b/>
        </w:rPr>
        <w:t>Figure 5 · 自动评价是否可信：JudgeBench 与人类校准。</w:t>
      </w:r>
      <w:r>
        <w:rPr>
          <w:rFonts w:ascii="Calibri" w:hAnsi="Calibri" w:eastAsia="PingFang SC"/>
        </w:rPr>
        <w:t xml:space="preserve"> 四个 panel：A 按 rubric module 报 judge–human pairwise accuracy/α；B 画预测置信度与实际正确率的 calibration/reliability curve；C 报 A/B 顺序、长度、格式、persona 关键词和隐私诱饵造成的准确率变化；D 画“自动覆盖率—人工成本—错误率”级联曲线，并标出预注册主榜门槛。Judge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w:t>
      </w:r>
      <w:r>
        <w:rPr>
          <w:rFonts w:ascii="Courier New" w:hAnsi="Courier New" w:eastAsia="PingFang SC"/>
          <w:color w:val="6A3E00"/>
          <w:sz w:val="20"/>
        </w:rPr>
        <w:t>PF_matched</w:t>
      </w:r>
      <w:r>
        <w:rPr>
          <w:rFonts w:ascii="Calibri" w:hAnsi="Calibri" w:eastAsia="PingFang SC"/>
        </w:rPr>
        <w:t>、</w:t>
      </w:r>
      <w:r>
        <w:rPr>
          <w:rFonts w:ascii="Courier New" w:hAnsi="Courier New" w:eastAsia="PingFang SC"/>
          <w:color w:val="6A3E00"/>
          <w:sz w:val="20"/>
        </w:rPr>
        <w:t>PF_swapped</w:t>
      </w:r>
      <w:r>
        <w:rPr>
          <w:rFonts w:ascii="Calibri" w:hAnsi="Calibri" w:eastAsia="PingFang SC"/>
        </w:rPr>
        <w:t>、MP、CFA、Worst-view CFA、Neutral Invariance、cost 和 eligibility。E1/E2/E3 分块，商业产品榜与受控 harness 榜不混排；报告置信区间或标准误，而不是只报点估计。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 xml:space="preserve">附录建议保留：逐 family CFA forest plot、完整 </w:t>
      </w:r>
      <w:r>
        <w:rPr>
          <w:rFonts w:ascii="Courier New" w:hAnsi="Courier New" w:eastAsia="PingFang SC"/>
          <w:color w:val="6A3E00"/>
          <w:sz w:val="20"/>
        </w:rPr>
        <w:t>3 strata × 6 intents × deliverable</w:t>
      </w:r>
      <w:r>
        <w:rPr>
          <w:rFonts w:ascii="Calibri" w:hAnsi="Calibri" w:eastAsia="PingFang SC"/>
        </w:rPr>
        <w:t xml:space="preserve"> coverage heatmap、八个 anchor 的独立 S0–S3 曲线、clarification value/turn、retention/update 曲线、各语言/用户群切片，以及 judge confusion matrix。附录表应给出 24 个 family、48 个 user-task、persona compatibility gate、rubric leaf bank、agent/version/tool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JudgeBench 的测量效度证据。</w:t>
      </w:r>
    </w:p>
    <w:p>
      <w:pPr>
        <w:pStyle w:val="Heading1"/>
      </w:pPr>
      <w:r>
        <w:t>参考文献</w:t>
      </w:r>
    </w:p>
    <w:p>
      <w:pPr>
        <w:spacing w:after="0" w:line="221"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3">
        <w:r>
          <w:rPr>
            <w:rFonts w:ascii="Calibri" w:hAnsi="Calibri" w:eastAsia="PingFang SC"/>
            <w:color w:val="2E74B5"/>
            <w:u w:val="single"/>
            <w:sz w:val="17"/>
            <w:szCs w:val="17"/>
          </w:rPr>
          <w:t>https://arxiv.org/abs/2605.19276</w:t>
        </w:r>
      </w:hyperlink>
    </w:p>
    <w:p>
      <w:pPr>
        <w:spacing w:after="0" w:line="221"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4">
        <w:r>
          <w:rPr>
            <w:rFonts w:ascii="Calibri" w:hAnsi="Calibri" w:eastAsia="PingFang SC"/>
            <w:color w:val="2E74B5"/>
            <w:u w:val="single"/>
            <w:sz w:val="17"/>
            <w:szCs w:val="17"/>
          </w:rPr>
          <w:t>https://evalscope.readthedocs.io/en/refact_readme/get_started/introduction.html</w:t>
        </w:r>
      </w:hyperlink>
    </w:p>
    <w:p>
      <w:pPr>
        <w:spacing w:after="0" w:line="221"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5">
        <w:r>
          <w:rPr>
            <w:rFonts w:ascii="Calibri" w:hAnsi="Calibri" w:eastAsia="PingFang SC"/>
            <w:color w:val="2E74B5"/>
            <w:u w:val="single"/>
            <w:sz w:val="17"/>
            <w:szCs w:val="17"/>
          </w:rPr>
          <w:t>https://arxiv.org/abs/2412.14470</w:t>
        </w:r>
      </w:hyperlink>
    </w:p>
    <w:p>
      <w:pPr>
        <w:spacing w:after="0" w:line="221"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25">
        <w:r>
          <w:rPr>
            <w:rFonts w:ascii="Calibri" w:hAnsi="Calibri" w:eastAsia="PingFang SC"/>
            <w:color w:val="2E74B5"/>
            <w:u w:val="single"/>
            <w:sz w:val="17"/>
            <w:szCs w:val="17"/>
          </w:rPr>
          <w:t>https://arxiv.org/abs/2509.25106</w:t>
        </w:r>
      </w:hyperlink>
    </w:p>
    <w:p>
      <w:pPr>
        <w:spacing w:after="0" w:line="221"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8">
        <w:r>
          <w:rPr>
            <w:rFonts w:ascii="Calibri" w:hAnsi="Calibri" w:eastAsia="PingFang SC"/>
            <w:color w:val="2E74B5"/>
            <w:u w:val="single"/>
            <w:sz w:val="17"/>
            <w:szCs w:val="17"/>
          </w:rPr>
          <w:t>https://macaron.im/mindlab/research/macaron-v1-preview</w:t>
        </w:r>
      </w:hyperlink>
    </w:p>
    <w:p>
      <w:pPr>
        <w:spacing w:after="0" w:line="221"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9">
        <w:r>
          <w:rPr>
            <w:rFonts w:ascii="Calibri" w:hAnsi="Calibri" w:eastAsia="PingFang SC"/>
            <w:color w:val="2E74B5"/>
            <w:u w:val="single"/>
            <w:sz w:val="17"/>
            <w:szCs w:val="17"/>
          </w:rPr>
          <w:t>https://arxiv.org/abs/2506.11763</w:t>
        </w:r>
      </w:hyperlink>
    </w:p>
    <w:p>
      <w:pPr>
        <w:spacing w:after="0" w:line="221"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40">
        <w:r>
          <w:rPr>
            <w:rFonts w:ascii="Calibri" w:hAnsi="Calibri" w:eastAsia="PingFang SC"/>
            <w:color w:val="2E74B5"/>
            <w:u w:val="single"/>
            <w:sz w:val="17"/>
            <w:szCs w:val="17"/>
          </w:rPr>
          <w:t>https://arxiv.org/abs/2506.21506</w:t>
        </w:r>
      </w:hyperlink>
    </w:p>
    <w:p>
      <w:pPr>
        <w:spacing w:after="0" w:line="221"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41">
        <w:r>
          <w:rPr>
            <w:rFonts w:ascii="Calibri" w:hAnsi="Calibri" w:eastAsia="PingFang SC"/>
            <w:color w:val="2E74B5"/>
            <w:u w:val="single"/>
            <w:sz w:val="17"/>
            <w:szCs w:val="17"/>
          </w:rPr>
          <w:t>https://arxiv.org/abs/2508.06600</w:t>
        </w:r>
      </w:hyperlink>
    </w:p>
    <w:p>
      <w:pPr>
        <w:spacing w:after="0" w:line="221"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42">
        <w:r>
          <w:rPr>
            <w:rFonts w:ascii="Calibri" w:hAnsi="Calibri" w:eastAsia="PingFang SC"/>
            <w:color w:val="2E74B5"/>
            <w:u w:val="single"/>
            <w:sz w:val="17"/>
            <w:szCs w:val="17"/>
          </w:rPr>
          <w:t>https://openai.com/index/paperbench/</w:t>
        </w:r>
      </w:hyperlink>
    </w:p>
    <w:p>
      <w:pPr>
        <w:spacing w:after="0" w:line="221"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3">
        <w:r>
          <w:rPr>
            <w:rFonts w:ascii="Calibri" w:hAnsi="Calibri" w:eastAsia="PingFang SC"/>
            <w:color w:val="2E74B5"/>
            <w:u w:val="single"/>
            <w:sz w:val="17"/>
            <w:szCs w:val="17"/>
          </w:rPr>
          <w:t>https://livedeepresearch.github.io/</w:t>
        </w:r>
      </w:hyperlink>
    </w:p>
    <w:p>
      <w:pPr>
        <w:spacing w:after="0" w:line="221"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4">
        <w:r>
          <w:rPr>
            <w:rFonts w:ascii="Calibri" w:hAnsi="Calibri" w:eastAsia="PingFang SC"/>
            <w:color w:val="2E74B5"/>
            <w:u w:val="single"/>
            <w:sz w:val="17"/>
            <w:szCs w:val="17"/>
          </w:rPr>
          <w:t>https://arxiv.org/abs/2505.19253</w:t>
        </w:r>
      </w:hyperlink>
    </w:p>
    <w:p>
      <w:pPr>
        <w:spacing w:after="0" w:line="221"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5">
        <w:r>
          <w:rPr>
            <w:rFonts w:ascii="Calibri" w:hAnsi="Calibri" w:eastAsia="PingFang SC"/>
            <w:color w:val="2E74B5"/>
            <w:u w:val="single"/>
            <w:sz w:val="17"/>
            <w:szCs w:val="17"/>
          </w:rPr>
          <w:t>https://arxiv.org/abs/2510.00172</w:t>
        </w:r>
      </w:hyperlink>
    </w:p>
    <w:p>
      <w:pPr>
        <w:spacing w:after="0" w:line="221"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6">
        <w:r>
          <w:rPr>
            <w:rFonts w:ascii="Calibri" w:hAnsi="Calibri" w:eastAsia="PingFang SC"/>
            <w:color w:val="2E74B5"/>
            <w:u w:val="single"/>
            <w:sz w:val="17"/>
            <w:szCs w:val="17"/>
          </w:rPr>
          <w:t>https://livebench.ai/</w:t>
        </w:r>
      </w:hyperlink>
    </w:p>
    <w:p>
      <w:pPr>
        <w:spacing w:after="0" w:line="221"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7">
        <w:r>
          <w:rPr>
            <w:rFonts w:ascii="Calibri" w:hAnsi="Calibri" w:eastAsia="PingFang SC"/>
            <w:color w:val="2E74B5"/>
            <w:u w:val="single"/>
            <w:sz w:val="17"/>
            <w:szCs w:val="17"/>
          </w:rPr>
          <w:t>https://arxiv.org/abs/2310.17631</w:t>
        </w:r>
      </w:hyperlink>
    </w:p>
    <w:p>
      <w:pPr>
        <w:spacing w:after="0" w:line="221"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8">
        <w:r>
          <w:rPr>
            <w:rFonts w:ascii="Calibri" w:hAnsi="Calibri" w:eastAsia="PingFang SC"/>
            <w:color w:val="2E74B5"/>
            <w:u w:val="single"/>
            <w:sz w:val="17"/>
            <w:szCs w:val="17"/>
          </w:rPr>
          <w:t>https://arxiv.org/abs/2405.01535</w:t>
        </w:r>
      </w:hyperlink>
    </w:p>
    <w:p>
      <w:pPr>
        <w:spacing w:after="0" w:line="221"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9">
        <w:r>
          <w:rPr>
            <w:rFonts w:ascii="Calibri" w:hAnsi="Calibri" w:eastAsia="PingFang SC"/>
            <w:color w:val="2E74B5"/>
            <w:u w:val="single"/>
            <w:sz w:val="17"/>
            <w:szCs w:val="17"/>
          </w:rPr>
          <w:t>https://arxiv.org/abs/2403.02839</w:t>
        </w:r>
      </w:hyperlink>
    </w:p>
    <w:p>
      <w:pPr>
        <w:spacing w:after="0" w:line="221"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50">
        <w:r>
          <w:rPr>
            <w:rFonts w:ascii="Calibri" w:hAnsi="Calibri" w:eastAsia="PingFang SC"/>
            <w:color w:val="2E74B5"/>
            <w:u w:val="single"/>
            <w:sz w:val="17"/>
            <w:szCs w:val="17"/>
          </w:rPr>
          <w:t>https://arxiv.org/abs/2508.04183</w:t>
        </w:r>
      </w:hyperlink>
    </w:p>
    <w:p>
      <w:pPr>
        <w:spacing w:after="0" w:line="221"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51">
        <w:r>
          <w:rPr>
            <w:rFonts w:ascii="Calibri" w:hAnsi="Calibri" w:eastAsia="PingFang SC"/>
            <w:color w:val="2E74B5"/>
            <w:u w:val="single"/>
            <w:sz w:val="17"/>
            <w:szCs w:val="17"/>
          </w:rPr>
          <w:t>https://arxiv.org/abs/2511.07685</w:t>
        </w:r>
      </w:hyperlink>
    </w:p>
    <w:p>
      <w:pPr>
        <w:spacing w:after="0" w:line="221"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52">
        <w:r>
          <w:rPr>
            <w:rFonts w:ascii="Calibri" w:hAnsi="Calibri" w:eastAsia="PingFang SC"/>
            <w:color w:val="2E74B5"/>
            <w:u w:val="single"/>
            <w:sz w:val="17"/>
            <w:szCs w:val="17"/>
          </w:rPr>
          <w:t>https://arxiv.org/abs/2407.15711</w:t>
        </w:r>
      </w:hyperlink>
    </w:p>
    <w:p>
      <w:pPr>
        <w:spacing w:after="0" w:line="221"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3">
        <w:r>
          <w:rPr>
            <w:rFonts w:ascii="Calibri" w:hAnsi="Calibri" w:eastAsia="PingFang SC"/>
            <w:color w:val="2E74B5"/>
            <w:u w:val="single"/>
            <w:sz w:val="17"/>
            <w:szCs w:val="17"/>
          </w:rPr>
          <w:t>https://arxiv.org/abs/2402.17896</w:t>
        </w:r>
      </w:hyperlink>
    </w:p>
    <w:p>
      <w:pPr>
        <w:spacing w:after="0" w:line="221"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4">
        <w:r>
          <w:rPr>
            <w:rFonts w:ascii="Calibri" w:hAnsi="Calibri" w:eastAsia="PingFang SC"/>
            <w:color w:val="2E74B5"/>
            <w:u w:val="single"/>
            <w:sz w:val="17"/>
            <w:szCs w:val="17"/>
          </w:rPr>
          <w:t>https://arxiv.org/abs/2507.16280</w:t>
        </w:r>
      </w:hyperlink>
    </w:p>
    <w:p>
      <w:pPr>
        <w:spacing w:after="0" w:line="221"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67">
        <w:r>
          <w:rPr>
            <w:rFonts w:ascii="Calibri" w:hAnsi="Calibri" w:eastAsia="PingFang SC"/>
            <w:color w:val="2E74B5"/>
            <w:u w:val="single"/>
            <w:sz w:val="17"/>
            <w:szCs w:val="17"/>
          </w:rPr>
          <w:t>https://arxiv.org/abs/2211.09110</w:t>
        </w:r>
      </w:hyperlink>
    </w:p>
    <w:p>
      <w:pPr>
        <w:spacing w:after="0" w:line="221"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66">
        <w:r>
          <w:rPr>
            <w:rFonts w:ascii="Calibri" w:hAnsi="Calibri" w:eastAsia="PingFang SC"/>
            <w:color w:val="2E74B5"/>
            <w:u w:val="single"/>
            <w:sz w:val="17"/>
            <w:szCs w:val="17"/>
          </w:rPr>
          <w:t>https://aclanthology.org/2020.acl-main.442/</w:t>
        </w:r>
      </w:hyperlink>
    </w:p>
    <w:p>
      <w:pPr>
        <w:spacing w:after="0" w:line="221"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68">
        <w:r>
          <w:rPr>
            <w:rFonts w:ascii="Calibri" w:hAnsi="Calibri" w:eastAsia="PingFang SC"/>
            <w:color w:val="2E74B5"/>
            <w:u w:val="single"/>
            <w:sz w:val="17"/>
            <w:szCs w:val="17"/>
          </w:rPr>
          <w:t>https://arxiv.org/abs/2411.12990</w:t>
        </w:r>
      </w:hyperlink>
    </w:p>
    <w:p>
      <w:pPr>
        <w:spacing w:after="0" w:line="221"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69">
        <w:r>
          <w:rPr>
            <w:rFonts w:ascii="Calibri" w:hAnsi="Calibri" w:eastAsia="PingFang SC"/>
            <w:color w:val="2E74B5"/>
            <w:u w:val="single"/>
            <w:sz w:val="17"/>
            <w:szCs w:val="17"/>
          </w:rPr>
          <w:t>https://papers.neurips.cc/paper_files/paper/2025/hash/76175f4355e2f67cf91be468c8860070-Abstract-Datasets_and_Benchmarks_Track.html</w:t>
        </w:r>
      </w:hyperlink>
    </w:p>
    <w:p>
      <w:pPr>
        <w:spacing w:after="0" w:line="221"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5">
        <w:r>
          <w:rPr>
            <w:rFonts w:ascii="Calibri" w:hAnsi="Calibri" w:eastAsia="PingFang SC"/>
            <w:color w:val="2E74B5"/>
            <w:u w:val="single"/>
            <w:sz w:val="17"/>
            <w:szCs w:val="17"/>
          </w:rPr>
          <w:t>https://arxiv.org/abs/2607.27056</w:t>
        </w:r>
      </w:hyperlink>
    </w:p>
    <w:p>
      <w:pPr>
        <w:spacing w:after="0" w:line="221"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6">
        <w:r>
          <w:rPr>
            <w:rFonts w:ascii="Calibri" w:hAnsi="Calibri" w:eastAsia="PingFang SC"/>
            <w:color w:val="2E74B5"/>
            <w:u w:val="single"/>
            <w:sz w:val="17"/>
            <w:szCs w:val="17"/>
          </w:rPr>
          <w:t>https://arxiv.org/abs/2607.21635</w:t>
        </w:r>
      </w:hyperlink>
    </w:p>
    <w:p>
      <w:pPr>
        <w:spacing w:after="0" w:line="221"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7">
        <w:r>
          <w:rPr>
            <w:rFonts w:ascii="Calibri" w:hAnsi="Calibri" w:eastAsia="PingFang SC"/>
            <w:color w:val="2E74B5"/>
            <w:u w:val="single"/>
            <w:sz w:val="17"/>
            <w:szCs w:val="17"/>
          </w:rPr>
          <w:t>https://arxiv.org/abs/2607.20482</w:t>
        </w:r>
      </w:hyperlink>
    </w:p>
    <w:p>
      <w:pPr>
        <w:spacing w:after="0" w:line="221"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58">
        <w:r>
          <w:rPr>
            <w:rFonts w:ascii="Calibri" w:hAnsi="Calibri" w:eastAsia="PingFang SC"/>
            <w:color w:val="2E74B5"/>
            <w:u w:val="single"/>
            <w:sz w:val="17"/>
            <w:szCs w:val="17"/>
          </w:rPr>
          <w:t>https://arxiv.org/abs/2607.15948</w:t>
        </w:r>
      </w:hyperlink>
    </w:p>
    <w:p>
      <w:pPr>
        <w:spacing w:after="0" w:line="221"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9">
        <w:r>
          <w:rPr>
            <w:rFonts w:ascii="Calibri" w:hAnsi="Calibri" w:eastAsia="PingFang SC"/>
            <w:color w:val="2E74B5"/>
            <w:u w:val="single"/>
            <w:sz w:val="17"/>
            <w:szCs w:val="17"/>
          </w:rPr>
          <w:t>https://arxiv.org/abs/2607.12254</w:t>
        </w:r>
      </w:hyperlink>
    </w:p>
    <w:p>
      <w:pPr>
        <w:spacing w:after="0" w:line="221"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60">
        <w:r>
          <w:rPr>
            <w:rFonts w:ascii="Calibri" w:hAnsi="Calibri" w:eastAsia="PingFang SC"/>
            <w:color w:val="2E74B5"/>
            <w:u w:val="single"/>
            <w:sz w:val="17"/>
            <w:szCs w:val="17"/>
          </w:rPr>
          <w:t>https://arxiv.org/abs/2607.10526</w:t>
        </w:r>
      </w:hyperlink>
    </w:p>
    <w:p>
      <w:pPr>
        <w:spacing w:after="0" w:line="221"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61">
        <w:r>
          <w:rPr>
            <w:rFonts w:ascii="Calibri" w:hAnsi="Calibri" w:eastAsia="PingFang SC"/>
            <w:color w:val="2E74B5"/>
            <w:u w:val="single"/>
            <w:sz w:val="17"/>
            <w:szCs w:val="17"/>
          </w:rPr>
          <w:t>https://arxiv.org/abs/2607.03162</w:t>
        </w:r>
      </w:hyperlink>
    </w:p>
    <w:p>
      <w:pPr>
        <w:spacing w:after="0" w:line="221"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11">
        <w:r>
          <w:rPr>
            <w:rFonts w:ascii="Calibri" w:hAnsi="Calibri" w:eastAsia="PingFang SC"/>
            <w:color w:val="2E74B5"/>
            <w:u w:val="single"/>
            <w:sz w:val="17"/>
            <w:szCs w:val="17"/>
          </w:rPr>
          <w:t>https://aclanthology.org/2024.acl-long.399/</w:t>
        </w:r>
      </w:hyperlink>
    </w:p>
    <w:p>
      <w:pPr>
        <w:spacing w:after="0" w:line="221"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13">
        <w:r>
          <w:rPr>
            <w:rFonts w:ascii="Calibri" w:hAnsi="Calibri" w:eastAsia="PingFang SC"/>
            <w:color w:val="2E74B5"/>
            <w:u w:val="single"/>
            <w:sz w:val="17"/>
            <w:szCs w:val="17"/>
          </w:rPr>
          <w:t>https://aclanthology.org/2024.emnlp-industry.37/</w:t>
        </w:r>
      </w:hyperlink>
    </w:p>
    <w:p>
      <w:pPr>
        <w:spacing w:after="0" w:line="221"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12">
        <w:r>
          <w:rPr>
            <w:rFonts w:ascii="Calibri" w:hAnsi="Calibri" w:eastAsia="PingFang SC"/>
            <w:color w:val="2E74B5"/>
            <w:u w:val="single"/>
            <w:sz w:val="17"/>
            <w:szCs w:val="17"/>
          </w:rPr>
          <w:t>https://aclanthology.org/2025.findings-acl.927/</w:t>
        </w:r>
      </w:hyperlink>
    </w:p>
    <w:p>
      <w:pPr>
        <w:spacing w:after="0" w:line="221"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19">
        <w:r>
          <w:rPr>
            <w:rFonts w:ascii="Calibri" w:hAnsi="Calibri" w:eastAsia="PingFang SC"/>
            <w:color w:val="2E74B5"/>
            <w:u w:val="single"/>
            <w:sz w:val="17"/>
            <w:szCs w:val="17"/>
          </w:rPr>
          <w:t>https://arxiv.org/abs/2504.14225</w:t>
        </w:r>
      </w:hyperlink>
    </w:p>
    <w:p>
      <w:pPr>
        <w:spacing w:after="0" w:line="221"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14">
        <w:r>
          <w:rPr>
            <w:rFonts w:ascii="Calibri" w:hAnsi="Calibri" w:eastAsia="PingFang SC"/>
            <w:color w:val="2E74B5"/>
            <w:u w:val="single"/>
            <w:sz w:val="17"/>
            <w:szCs w:val="17"/>
          </w:rPr>
          <w:t>https://aclanthology.org/2025.acl-long.1064/</w:t>
        </w:r>
      </w:hyperlink>
    </w:p>
    <w:p>
      <w:pPr>
        <w:spacing w:after="0" w:line="221"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15">
        <w:r>
          <w:rPr>
            <w:rFonts w:ascii="Calibri" w:hAnsi="Calibri" w:eastAsia="PingFang SC"/>
            <w:color w:val="2E74B5"/>
            <w:u w:val="single"/>
            <w:sz w:val="17"/>
            <w:szCs w:val="17"/>
          </w:rPr>
          <w:t>https://arxiv.org/abs/2505.13176</w:t>
        </w:r>
      </w:hyperlink>
    </w:p>
    <w:p>
      <w:pPr>
        <w:spacing w:after="0" w:line="221"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3">
        <w:r>
          <w:rPr>
            <w:rFonts w:ascii="Calibri" w:hAnsi="Calibri" w:eastAsia="PingFang SC"/>
            <w:color w:val="2E74B5"/>
            <w:u w:val="single"/>
            <w:sz w:val="17"/>
            <w:szCs w:val="17"/>
          </w:rPr>
          <w:t>https://aclanthology.org/2025.emnlp-main.1711/</w:t>
        </w:r>
      </w:hyperlink>
    </w:p>
    <w:p>
      <w:pPr>
        <w:spacing w:after="0" w:line="221"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26">
        <w:r>
          <w:rPr>
            <w:rFonts w:ascii="Calibri" w:hAnsi="Calibri" w:eastAsia="PingFang SC"/>
            <w:color w:val="2E74B5"/>
            <w:u w:val="single"/>
            <w:sz w:val="17"/>
            <w:szCs w:val="17"/>
          </w:rPr>
          <w:t>https://arxiv.org/abs/2605.10530</w:t>
        </w:r>
      </w:hyperlink>
    </w:p>
    <w:p>
      <w:pPr>
        <w:spacing w:after="0" w:line="221"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7">
        <w:r>
          <w:rPr>
            <w:rFonts w:ascii="Calibri" w:hAnsi="Calibri" w:eastAsia="PingFang SC"/>
            <w:color w:val="2E74B5"/>
            <w:u w:val="single"/>
            <w:sz w:val="17"/>
            <w:szCs w:val="17"/>
          </w:rPr>
          <w:t>https://aclanthology.org/2026.acl-long.723/</w:t>
        </w:r>
      </w:hyperlink>
    </w:p>
    <w:p>
      <w:pPr>
        <w:spacing w:after="0" w:line="221"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65">
        <w:r>
          <w:rPr>
            <w:rFonts w:ascii="Calibri" w:hAnsi="Calibri" w:eastAsia="PingFang SC"/>
            <w:color w:val="2E74B5"/>
            <w:u w:val="single"/>
            <w:sz w:val="17"/>
            <w:szCs w:val="17"/>
          </w:rPr>
          <w:t>https://aclanthology.org/2026.findings-acl.31/</w:t>
        </w:r>
      </w:hyperlink>
    </w:p>
    <w:p>
      <w:pPr>
        <w:spacing w:after="0" w:line="221"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20">
        <w:r>
          <w:rPr>
            <w:rFonts w:ascii="Calibri" w:hAnsi="Calibri" w:eastAsia="PingFang SC"/>
            <w:color w:val="2E74B5"/>
            <w:u w:val="single"/>
            <w:sz w:val="17"/>
            <w:szCs w:val="17"/>
          </w:rPr>
          <w:t>https://arxiv.org/abs/2601.16621</w:t>
        </w:r>
      </w:hyperlink>
    </w:p>
    <w:p>
      <w:pPr>
        <w:spacing w:after="0" w:line="221"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21">
        <w:r>
          <w:rPr>
            <w:rFonts w:ascii="Calibri" w:hAnsi="Calibri" w:eastAsia="PingFang SC"/>
            <w:color w:val="2E74B5"/>
            <w:u w:val="single"/>
            <w:sz w:val="17"/>
            <w:szCs w:val="17"/>
          </w:rPr>
          <w:t>https://arxiv.org/abs/2602.16173</w:t>
        </w:r>
      </w:hyperlink>
    </w:p>
    <w:p>
      <w:pPr>
        <w:spacing w:after="0" w:line="221"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22">
        <w:r>
          <w:rPr>
            <w:rFonts w:ascii="Calibri" w:hAnsi="Calibri" w:eastAsia="PingFang SC"/>
            <w:color w:val="2E74B5"/>
            <w:u w:val="single"/>
            <w:sz w:val="17"/>
            <w:szCs w:val="17"/>
          </w:rPr>
          <w:t>https://arxiv.org/abs/2605.25535</w:t>
        </w:r>
      </w:hyperlink>
    </w:p>
    <w:p>
      <w:pPr>
        <w:spacing w:after="0" w:line="221"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23">
        <w:r>
          <w:rPr>
            <w:rFonts w:ascii="Calibri" w:hAnsi="Calibri" w:eastAsia="PingFang SC"/>
            <w:color w:val="2E74B5"/>
            <w:u w:val="single"/>
            <w:sz w:val="17"/>
            <w:szCs w:val="17"/>
          </w:rPr>
          <w:t>https://aclanthology.org/2026.findings-acl.1337/</w:t>
        </w:r>
      </w:hyperlink>
    </w:p>
    <w:p>
      <w:pPr>
        <w:spacing w:after="0" w:line="221"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24">
        <w:r>
          <w:rPr>
            <w:rFonts w:ascii="Calibri" w:hAnsi="Calibri" w:eastAsia="PingFang SC"/>
            <w:color w:val="2E74B5"/>
            <w:u w:val="single"/>
            <w:sz w:val="17"/>
            <w:szCs w:val="17"/>
          </w:rPr>
          <w:t>https://aclanthology.org/2026.acl-long.1549/</w:t>
        </w:r>
      </w:hyperlink>
    </w:p>
    <w:p>
      <w:pPr>
        <w:spacing w:after="0" w:line="221"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17">
        <w:r>
          <w:rPr>
            <w:rFonts w:ascii="Calibri" w:hAnsi="Calibri" w:eastAsia="PingFang SC"/>
            <w:color w:val="2E74B5"/>
            <w:u w:val="single"/>
            <w:sz w:val="17"/>
            <w:szCs w:val="17"/>
          </w:rPr>
          <w:t>https://aclanthology.org/2026.acl-long.370/</w:t>
        </w:r>
      </w:hyperlink>
    </w:p>
    <w:p>
      <w:pPr>
        <w:spacing w:after="0" w:line="221"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16">
        <w:r>
          <w:rPr>
            <w:rFonts w:ascii="Calibri" w:hAnsi="Calibri" w:eastAsia="PingFang SC"/>
            <w:color w:val="2E74B5"/>
            <w:u w:val="single"/>
            <w:sz w:val="17"/>
            <w:szCs w:val="17"/>
          </w:rPr>
          <w:t>https://aclanthology.org/2026.findings-acl.1676/</w:t>
        </w:r>
      </w:hyperlink>
    </w:p>
    <w:p>
      <w:pPr>
        <w:spacing w:after="0" w:line="221"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18">
        <w:r>
          <w:rPr>
            <w:rFonts w:ascii="Calibri" w:hAnsi="Calibri" w:eastAsia="PingFang SC"/>
            <w:color w:val="2E74B5"/>
            <w:u w:val="single"/>
            <w:sz w:val="17"/>
            <w:szCs w:val="17"/>
          </w:rPr>
          <w:t>https://aclanthology.org/2026.acl-long.1669/</w:t>
        </w:r>
      </w:hyperlink>
    </w:p>
    <w:p>
      <w:pPr>
        <w:spacing w:after="0" w:line="221"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2">
        <w:r>
          <w:rPr>
            <w:rFonts w:ascii="Calibri" w:hAnsi="Calibri" w:eastAsia="PingFang SC"/>
            <w:color w:val="2E74B5"/>
            <w:u w:val="single"/>
            <w:sz w:val="17"/>
            <w:szCs w:val="17"/>
          </w:rPr>
          <w:t>https://aclanthology.org/2026.acl-long.2033/</w:t>
        </w:r>
      </w:hyperlink>
    </w:p>
    <w:p>
      <w:pPr>
        <w:spacing w:after="0" w:line="221"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64">
        <w:r>
          <w:rPr>
            <w:rFonts w:ascii="Calibri" w:hAnsi="Calibri" w:eastAsia="PingFang SC"/>
            <w:color w:val="2E74B5"/>
            <w:u w:val="single"/>
            <w:sz w:val="17"/>
            <w:szCs w:val="17"/>
          </w:rPr>
          <w:t>https://aclanthology.org/2026.acl-long.1260/</w:t>
        </w:r>
      </w:hyperlink>
    </w:p>
    <w:p>
      <w:pPr>
        <w:spacing w:after="0" w:line="221"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6">
        <w:r>
          <w:rPr>
            <w:rFonts w:ascii="Calibri" w:hAnsi="Calibri" w:eastAsia="PingFang SC"/>
            <w:color w:val="2E74B5"/>
            <w:u w:val="single"/>
            <w:sz w:val="17"/>
            <w:szCs w:val="17"/>
          </w:rPr>
          <w:t>https://aclanthology.org/2026.acl-long.2079/</w:t>
        </w:r>
      </w:hyperlink>
    </w:p>
    <w:p>
      <w:pPr>
        <w:spacing w:after="0" w:line="221"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7">
        <w:r>
          <w:rPr>
            <w:rFonts w:ascii="Calibri" w:hAnsi="Calibri" w:eastAsia="PingFang SC"/>
            <w:color w:val="2E74B5"/>
            <w:u w:val="single"/>
            <w:sz w:val="17"/>
            <w:szCs w:val="17"/>
          </w:rPr>
          <w:t>https://arxiv.org/abs/2605.31545</w:t>
        </w:r>
      </w:hyperlink>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31"/>
      <w:footerReference w:type="default" r:id="rId3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2026-8-4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clanthology.org/2024.acl-long.399/" TargetMode="External"/><Relationship Id="rId12" Type="http://schemas.openxmlformats.org/officeDocument/2006/relationships/hyperlink" Target="https://aclanthology.org/2025.findings-acl.927/" TargetMode="External"/><Relationship Id="rId13" Type="http://schemas.openxmlformats.org/officeDocument/2006/relationships/hyperlink" Target="https://aclanthology.org/2024.emnlp-industry.37/" TargetMode="External"/><Relationship Id="rId14" Type="http://schemas.openxmlformats.org/officeDocument/2006/relationships/hyperlink" Target="https://aclanthology.org/2025.acl-long.1064/" TargetMode="External"/><Relationship Id="rId15" Type="http://schemas.openxmlformats.org/officeDocument/2006/relationships/hyperlink" Target="https://arxiv.org/abs/2505.13176" TargetMode="External"/><Relationship Id="rId16" Type="http://schemas.openxmlformats.org/officeDocument/2006/relationships/hyperlink" Target="https://aclanthology.org/2026.findings-acl.1676/" TargetMode="External"/><Relationship Id="rId17" Type="http://schemas.openxmlformats.org/officeDocument/2006/relationships/hyperlink" Target="https://aclanthology.org/2026.acl-long.370/" TargetMode="External"/><Relationship Id="rId18" Type="http://schemas.openxmlformats.org/officeDocument/2006/relationships/hyperlink" Target="https://aclanthology.org/2026.acl-long.1669/" TargetMode="External"/><Relationship Id="rId19" Type="http://schemas.openxmlformats.org/officeDocument/2006/relationships/hyperlink" Target="https://arxiv.org/abs/2504.14225" TargetMode="External"/><Relationship Id="rId20" Type="http://schemas.openxmlformats.org/officeDocument/2006/relationships/hyperlink" Target="https://arxiv.org/abs/2601.16621" TargetMode="External"/><Relationship Id="rId21" Type="http://schemas.openxmlformats.org/officeDocument/2006/relationships/hyperlink" Target="https://arxiv.org/abs/2602.16173" TargetMode="External"/><Relationship Id="rId22" Type="http://schemas.openxmlformats.org/officeDocument/2006/relationships/hyperlink" Target="https://arxiv.org/abs/2605.25535" TargetMode="External"/><Relationship Id="rId23" Type="http://schemas.openxmlformats.org/officeDocument/2006/relationships/hyperlink" Target="https://aclanthology.org/2026.findings-acl.1337/" TargetMode="External"/><Relationship Id="rId24" Type="http://schemas.openxmlformats.org/officeDocument/2006/relationships/hyperlink" Target="https://aclanthology.org/2026.acl-long.1549/" TargetMode="External"/><Relationship Id="rId25" Type="http://schemas.openxmlformats.org/officeDocument/2006/relationships/hyperlink" Target="https://arxiv.org/abs/2509.25106" TargetMode="External"/><Relationship Id="rId26" Type="http://schemas.openxmlformats.org/officeDocument/2006/relationships/hyperlink" Target="https://arxiv.org/abs/2605.10530" TargetMode="External"/><Relationship Id="rId27" Type="http://schemas.openxmlformats.org/officeDocument/2006/relationships/hyperlink" Target="https://aclanthology.org/2026.acl-long.723/" TargetMode="External"/><Relationship Id="rId28" Type="http://schemas.openxmlformats.org/officeDocument/2006/relationships/header" Target="header2.xml"/><Relationship Id="rId29" Type="http://schemas.openxmlformats.org/officeDocument/2006/relationships/footer" Target="footer2.xml"/><Relationship Id="rId30" Type="http://schemas.openxmlformats.org/officeDocument/2006/relationships/image" Target="media/image1.png"/><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yperlink" Target="https://arxiv.org/abs/2605.19276" TargetMode="External"/><Relationship Id="rId34" Type="http://schemas.openxmlformats.org/officeDocument/2006/relationships/hyperlink" Target="https://evalscope.readthedocs.io/en/refact_readme/get_started/introduction.html" TargetMode="External"/><Relationship Id="rId35" Type="http://schemas.openxmlformats.org/officeDocument/2006/relationships/hyperlink" Target="https://arxiv.org/abs/2412.14470" TargetMode="External"/><Relationship Id="rId36" Type="http://schemas.openxmlformats.org/officeDocument/2006/relationships/hyperlink" Target="https://aclanthology.org/2026.acl-long.2079/" TargetMode="External"/><Relationship Id="rId37" Type="http://schemas.openxmlformats.org/officeDocument/2006/relationships/hyperlink" Target="https://arxiv.org/abs/2605.31545" TargetMode="External"/><Relationship Id="rId38" Type="http://schemas.openxmlformats.org/officeDocument/2006/relationships/hyperlink" Target="https://macaron.im/mindlab/research/macaron-v1-preview" TargetMode="External"/><Relationship Id="rId39" Type="http://schemas.openxmlformats.org/officeDocument/2006/relationships/hyperlink" Target="https://arxiv.org/abs/2506.11763" TargetMode="External"/><Relationship Id="rId40" Type="http://schemas.openxmlformats.org/officeDocument/2006/relationships/hyperlink" Target="https://arxiv.org/abs/2506.21506" TargetMode="External"/><Relationship Id="rId41" Type="http://schemas.openxmlformats.org/officeDocument/2006/relationships/hyperlink" Target="https://arxiv.org/abs/2508.06600" TargetMode="External"/><Relationship Id="rId42" Type="http://schemas.openxmlformats.org/officeDocument/2006/relationships/hyperlink" Target="https://openai.com/index/paperbench/" TargetMode="External"/><Relationship Id="rId43" Type="http://schemas.openxmlformats.org/officeDocument/2006/relationships/hyperlink" Target="https://livedeepresearch.github.io/" TargetMode="External"/><Relationship Id="rId44" Type="http://schemas.openxmlformats.org/officeDocument/2006/relationships/hyperlink" Target="https://arxiv.org/abs/2505.19253" TargetMode="External"/><Relationship Id="rId45" Type="http://schemas.openxmlformats.org/officeDocument/2006/relationships/hyperlink" Target="https://arxiv.org/abs/2510.00172" TargetMode="External"/><Relationship Id="rId46" Type="http://schemas.openxmlformats.org/officeDocument/2006/relationships/hyperlink" Target="https://livebench.ai/" TargetMode="External"/><Relationship Id="rId47" Type="http://schemas.openxmlformats.org/officeDocument/2006/relationships/hyperlink" Target="https://arxiv.org/abs/2310.17631" TargetMode="External"/><Relationship Id="rId48" Type="http://schemas.openxmlformats.org/officeDocument/2006/relationships/hyperlink" Target="https://arxiv.org/abs/2405.01535" TargetMode="External"/><Relationship Id="rId49" Type="http://schemas.openxmlformats.org/officeDocument/2006/relationships/hyperlink" Target="https://arxiv.org/abs/2403.02839" TargetMode="External"/><Relationship Id="rId50" Type="http://schemas.openxmlformats.org/officeDocument/2006/relationships/hyperlink" Target="https://arxiv.org/abs/2508.04183" TargetMode="External"/><Relationship Id="rId51" Type="http://schemas.openxmlformats.org/officeDocument/2006/relationships/hyperlink" Target="https://arxiv.org/abs/2511.07685" TargetMode="External"/><Relationship Id="rId52" Type="http://schemas.openxmlformats.org/officeDocument/2006/relationships/hyperlink" Target="https://arxiv.org/abs/2407.15711" TargetMode="External"/><Relationship Id="rId53" Type="http://schemas.openxmlformats.org/officeDocument/2006/relationships/hyperlink" Target="https://arxiv.org/abs/2402.17896" TargetMode="External"/><Relationship Id="rId54" Type="http://schemas.openxmlformats.org/officeDocument/2006/relationships/hyperlink" Target="https://arxiv.org/abs/2507.16280" TargetMode="External"/><Relationship Id="rId55" Type="http://schemas.openxmlformats.org/officeDocument/2006/relationships/hyperlink" Target="https://arxiv.org/abs/2607.27056" TargetMode="External"/><Relationship Id="rId56" Type="http://schemas.openxmlformats.org/officeDocument/2006/relationships/hyperlink" Target="https://arxiv.org/abs/2607.21635" TargetMode="External"/><Relationship Id="rId57" Type="http://schemas.openxmlformats.org/officeDocument/2006/relationships/hyperlink" Target="https://arxiv.org/abs/2607.20482" TargetMode="External"/><Relationship Id="rId58" Type="http://schemas.openxmlformats.org/officeDocument/2006/relationships/hyperlink" Target="https://arxiv.org/abs/2607.15948" TargetMode="External"/><Relationship Id="rId59" Type="http://schemas.openxmlformats.org/officeDocument/2006/relationships/hyperlink" Target="https://arxiv.org/abs/2607.12254" TargetMode="External"/><Relationship Id="rId60" Type="http://schemas.openxmlformats.org/officeDocument/2006/relationships/hyperlink" Target="https://arxiv.org/abs/2607.10526" TargetMode="External"/><Relationship Id="rId61" Type="http://schemas.openxmlformats.org/officeDocument/2006/relationships/hyperlink" Target="https://arxiv.org/abs/2607.03162" TargetMode="External"/><Relationship Id="rId62" Type="http://schemas.openxmlformats.org/officeDocument/2006/relationships/hyperlink" Target="https://aclanthology.org/2026.acl-long.2033/" TargetMode="External"/><Relationship Id="rId63" Type="http://schemas.openxmlformats.org/officeDocument/2006/relationships/hyperlink" Target="https://aclanthology.org/2025.emnlp-main.1711/" TargetMode="External"/><Relationship Id="rId64" Type="http://schemas.openxmlformats.org/officeDocument/2006/relationships/hyperlink" Target="https://aclanthology.org/2026.acl-long.1260/" TargetMode="External"/><Relationship Id="rId65" Type="http://schemas.openxmlformats.org/officeDocument/2006/relationships/hyperlink" Target="https://aclanthology.org/2026.findings-acl.31/" TargetMode="External"/><Relationship Id="rId66" Type="http://schemas.openxmlformats.org/officeDocument/2006/relationships/hyperlink" Target="https://aclanthology.org/2020.acl-main.442/" TargetMode="External"/><Relationship Id="rId67" Type="http://schemas.openxmlformats.org/officeDocument/2006/relationships/hyperlink" Target="https://arxiv.org/abs/2211.09110" TargetMode="External"/><Relationship Id="rId68" Type="http://schemas.openxmlformats.org/officeDocument/2006/relationships/hyperlink" Target="https://arxiv.org/abs/2411.12990" TargetMode="External"/><Relationship Id="rId69" Type="http://schemas.openxmlformats.org/officeDocument/2006/relationships/hyperlink" Target="https://papers.neurips.cc/paper_files/paper/2025/hash/76175f4355e2f67cf91be468c8860070-Abstract-Datasets_and_Benchmarks_Tra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