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v0.20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在已有单用户绝对适配之上，测同一任务下哪份结果更适合哪位用户，以及结论能否跨 cue 保持。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P-Score 已按 task/persona 生成权重与子标准，因此不能把它描述成只看长度或文风。</w:t>
      </w:r>
    </w:p>
    <w:p>
      <w:r>
        <w:rPr>
          <w:rFonts w:ascii="Calibri" w:hAnsi="Calibri" w:eastAsia="PingFang SC"/>
        </w:rPr>
        <w:t>因此，缺少的不是“更多 persona”“agent 会不会用 memory”或“persona-aware rubric”，而是在单用户绝对适配之上加入跨用户检验：固定任务、证据、工具和预算，只交换两个都合理的用户；让两套用户 rubric 交叉评价两份交付物，并用预冻结 must-change / must-hold / must-not 真值检查该变与不该变的部分。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对角优势，并用语义等价信号检查表面 cue 敏感性；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agent”，也不能说 PDR-Bench 没有 persona-aware rubric。真正差异是：在其单用户绝对适配之上增加跨用户 matched/swapped 对角优势、预冻结变化/不变项和跨线索表达稳健性；再用动态/长程测试与独立 JudgeBench 诊断失败。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Atlas、跨用户反事实特异性和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2026.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[2] Zhang et al. </w:t>
      </w:r>
      <w:r>
        <w:rPr>
          <w:rFonts w:ascii="Calibri" w:hAnsi="Calibri" w:eastAsia="PingFang SC"/>
          <w:i/>
          <w:sz w:val="16"/>
        </w:rPr>
        <w:t>Agent-SafetyBench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[4] Wang et al. </w:t>
      </w:r>
      <w:r>
        <w:rPr>
          <w:rFonts w:ascii="Calibri" w:hAnsi="Calibri" w:eastAsia="PingFang SC"/>
          <w:i/>
          <w:sz w:val="16"/>
        </w:rPr>
        <w:t>LiveResearchBench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[5] Sharma et al. </w:t>
      </w:r>
      <w:r>
        <w:rPr>
          <w:rFonts w:ascii="Calibri" w:hAnsi="Calibri" w:eastAsia="PingFang SC"/>
          <w:i/>
          <w:sz w:val="16"/>
        </w:rPr>
        <w:t>ResearchRubrics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[6] Liang et al. </w:t>
      </w:r>
      <w:r>
        <w:rPr>
          <w:rFonts w:ascii="Calibri" w:hAnsi="Calibri" w:eastAsia="PingFang SC"/>
          <w:i/>
          <w:sz w:val="16"/>
        </w:rPr>
        <w:t>HELM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[7] Ribeiro et al. </w:t>
      </w:r>
      <w:r>
        <w:rPr>
          <w:rFonts w:ascii="Calibri" w:hAnsi="Calibri" w:eastAsia="PingFang SC"/>
          <w:i/>
          <w:sz w:val="16"/>
        </w:rPr>
        <w:t>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[8] Reuel et al. </w:t>
      </w:r>
      <w:r>
        <w:rPr>
          <w:rFonts w:ascii="Calibri" w:hAnsi="Calibri" w:eastAsia="PingFang SC"/>
          <w:i/>
          <w:sz w:val="16"/>
        </w:rPr>
        <w:t>BetterBench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[9]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[10] Qian et al. </w:t>
      </w:r>
      <w:r>
        <w:rPr>
          <w:rFonts w:ascii="Calibri" w:hAnsi="Calibri" w:eastAsia="PingFang SC"/>
          <w:i/>
          <w:sz w:val="16"/>
        </w:rPr>
        <w:t>User-Conditioned Evaluation under Temporal Interventions</w:t>
      </w:r>
      <w:r>
        <w:rPr>
          <w:rFonts w:ascii="Calibri" w:hAnsi="Calibri" w:eastAsia="PingFang SC"/>
          <w:sz w:val="16"/>
        </w:rPr>
        <w:t>. arXiv:2607.21635.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[11]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[12]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[13] Yang. </w:t>
      </w:r>
      <w:r>
        <w:rPr>
          <w:rFonts w:ascii="Calibri" w:hAnsi="Calibri" w:eastAsia="PingFang SC"/>
          <w:i/>
          <w:sz w:val="16"/>
        </w:rPr>
        <w:t>SARSI Agents for Personal Singularity</w:t>
      </w:r>
      <w:r>
        <w:rPr>
          <w:rFonts w:ascii="Calibri" w:hAnsi="Calibri" w:eastAsia="PingFang SC"/>
          <w:sz w:val="16"/>
        </w:rPr>
        <w:t>. arXiv:2607.12254.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[14]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[16]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[18]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[19]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[20]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[21]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[22]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