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v0.20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同一任务和证据下，只改变用户；匹配结果应呈现跨用户对角优势，换成语义等价表达后仍应成立。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同一任务换一个同样合理的用户后，交付物是否在该变的地方变化、在不该变的地方保持？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输出做人评。领域专家负责事实和共同质量，目标用户负责判断 matched/swapped 哪份更适合自己；合成 persona 不能代替这一步。这个规模用于验证方法，不声称覆盖所有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完全一致。主榜评最终交付物；轻量轨迹和受控重跑只用于解释保持、偏离与恢复。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甚至发现，合成用户和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这里必须公平描述 PDR-Bench：它不是把 persona 只当作一段附加文字，也不是用通用文风分来评个性化。它会根据 task 和 persona 生成 P-Score 的权重与子标准，再评价目标、内容、呈现和可行动性；人类校准还会比较同一个 user-query 下两种 agent 的报告。</w:t>
      </w:r>
    </w:p>
    <w:p>
      <w:r>
        <w:rPr>
          <w:rFonts w:ascii="Calibri" w:hAnsi="Calibri" w:eastAsia="PingFang SC"/>
        </w:rPr>
        <w:t>它已经回答了一个重要问题：</w:t>
      </w:r>
      <w:r>
        <w:rPr>
          <w:rFonts w:ascii="Calibri" w:hAnsi="Calibri" w:eastAsia="PingFang SC"/>
          <w:b/>
        </w:rPr>
        <w:t>给定这个用户，这份报告是否适合他/她？</w:t>
      </w:r>
      <w:r>
        <w:rPr>
          <w:rFonts w:ascii="Calibri" w:hAnsi="Calibri" w:eastAsia="PingFang SC"/>
        </w:rPr>
        <w:t xml:space="preserve"> DeepAlign 要补的是下一层：</w:t>
      </w:r>
      <w:r>
        <w:rPr>
          <w:rFonts w:ascii="Calibri" w:hAnsi="Calibri" w:eastAsia="PingFang SC"/>
          <w:b/>
        </w:rPr>
        <w:t>同一任务和证据换成另一个同样合理的用户后，两份报告是否各自更适合自己的用户？</w:t>
      </w:r>
      <w:r>
        <w:rPr>
          <w:rFonts w:ascii="Calibri" w:hAnsi="Calibri" w:eastAsia="PingFang SC"/>
        </w:rPr>
        <w:t xml:space="preserve"> PDR-Bench 的 pairwise 比较是“同一用户下哪个 agent 报告更好”，不是“A/B 用户的报告交叉给两个人评分”。所以我们的差异不是 rubric 更会看 persona，而是增加跨用户 2×2 matched/swapped 矩阵和预冻结差异真值。</w:t>
      </w:r>
    </w:p>
    <w:p>
      <w:r>
        <w:rPr>
          <w:rFonts w:ascii="Calibri" w:hAnsi="Calibri" w:eastAsia="PingFang SC"/>
        </w:rPr>
        <w:t>还要避免另一个过度主张：matched/swapped 通过，也不能证明模型内部“真的理解了用户”。模型可能只是看到“不懂 AI”就调用短报告模板。为此我们要再检查：同一用户需求改写成结构化 persona、自然历史、澄清对话或去掉显眼关键词后，关键决策是否保持；只换无关人口属性或措辞时，不该变的事实和结论是否稳定。ACL 2026 的研究已经发现，同一 persona 换一种提示线索就可能改变测量结论；</w:t>
      </w:r>
      <w:hyperlink r:id="rId38">
        <w:r>
          <w:rPr>
            <w:rFonts w:ascii="Calibri" w:hAnsi="Calibri" w:eastAsia="PingFang SC"/>
            <w:color w:val="2E74B5"/>
            <w:u w:val="single"/>
          </w:rPr>
          <w:t>[40]</w:t>
        </w:r>
      </w:hyperlink>
      <w:r>
        <w:rPr>
          <w:rFonts w:ascii="Calibri" w:hAnsi="Calibri" w:eastAsia="PingFang SC"/>
        </w:rPr>
        <w:t xml:space="preserve"> PARL 也强调个性化 rubric 必须同时有代表性、用户一致性和区分力。</w:t>
      </w:r>
      <w:hyperlink r:id="rId39">
        <w:r>
          <w:rPr>
            <w:rFonts w:ascii="Calibri" w:hAnsi="Calibri" w:eastAsia="PingFang SC"/>
            <w:color w:val="2E74B5"/>
            <w:u w:val="single"/>
          </w:rPr>
          <w:t>[41]</w:t>
        </w:r>
      </w:hyperlink>
      <w:r>
        <w:rPr>
          <w:rFonts w:ascii="Calibri" w:hAnsi="Calibri" w:eastAsia="PingFang SC"/>
        </w:rPr>
        <w:t xml:space="preserve"> 长度、格式和关键词诱饵仍然要测，但主要用于审计 judge 是否稳健，不再用来概括 PDR-Bench 的不足。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用反事实任务族识别可观察的用户特异结果，而不是推断模型内部认知；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用压力测试区分获取、保持、利用、更新和恢复问题。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intervention，也不声称通过输出实验证明了模型“真正理解用户”。我们的候选贡献是把这些已有方向连接到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最终交付物的反事实特异性测量</w:t>
      </w:r>
      <w:r>
        <w:rPr>
          <w:rFonts w:ascii="Calibri" w:hAnsi="Calibri" w:eastAsia="PingFang SC"/>
        </w:rPr>
        <w:t>。如果 matched/swapped 人评不稳定，或同一用户需求换一种语义等价表达就改变结论，这个贡献就没有成立。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Update/Recover</w:t>
      </w:r>
      <w:r>
        <w:rPr>
          <w:rFonts w:ascii="Calibri" w:hAnsi="Calibri" w:eastAsia="PingFang SC"/>
        </w:rPr>
        <w:t>：用户纠正信息或改变目标后，agent 能不能更新并修复已经偏离的结果？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是：一个商业 Deep Research 产品、一个在统一搜索和工具条件下运行的通用 agent、一个可复现的开源 Deep Research agent。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Frozen Core</w:t>
      </w:r>
      <w:r>
        <w:rPr>
          <w:rFonts w:ascii="Calibri" w:hAnsi="Calibri" w:eastAsia="PingFang SC"/>
        </w:rPr>
        <w:t>：证据和工具固定，用于主要科学结论；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</w:t>
      </w:r>
      <w:r>
        <w:rPr>
          <w:rFonts w:ascii="Calibri" w:hAnsi="Calibri" w:eastAsia="PingFang SC"/>
        </w:rPr>
        <w:t>：记录日期、搜索服务和网页快照，只用于生态观察；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</w:t>
      </w:r>
      <w:r>
        <w:rPr>
          <w:rFonts w:ascii="Calibri" w:hAnsi="Calibri" w:eastAsia="PingFang SC"/>
        </w:rPr>
        <w:t>：用户状态中途变化，用于保持、更新和恢复测试。</w:t>
      </w:r>
    </w:p>
    <w:p>
      <w:r>
        <w:rPr>
          <w:rFonts w:ascii="Calibri" w:hAnsi="Calibri" w:eastAsia="PingFang SC"/>
        </w:rPr>
        <w:t>三条轨道不能混成一个总榜。商业产品版本和 live web 条件变化太快，必须单独报告。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用户中途更新目标；</w:t>
      </w:r>
    </w:p>
    <w:p>
      <w:pPr>
        <w:pStyle w:val="ListBullet"/>
      </w:pPr>
      <w:r>
        <w:rPr>
          <w:rFonts w:ascii="Calibri" w:hAnsi="Calibri" w:eastAsia="PingFang SC"/>
        </w:rPr>
        <w:t>在交付前重新提醒约束，观察能否恢复。</w:t>
      </w:r>
    </w:p>
    <w:p>
      <w:r>
        <w:rPr>
          <w:rFonts w:ascii="Calibri" w:hAnsi="Calibri" w:eastAsia="PingFang SC"/>
        </w:rPr>
        <w:t>前三个共同对照（clean、persona swap、无关信息）在所有 anchor 上运行；冲突、稀释、handoff 和动态更新只放到确实适合的 family。Re-anchor 不是 attack，而是恢复干预；预先确定哪些样本重跑，不能看见失败后再挑样本。这样才能把“这个任务本来难”与“用户信息被错配、稀释、丢失或没有更新”分开。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是哪一个、哪些结果应该变化/保持，以及恢复策略。对应指标分别是 ΔPF、无关信息 invariance、冲突解析率、PF retention/AUC、handoff loss、update correctness 和 recovery gain；同时检查事实、共同质量、长度和隐私是否受损。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子集做受控重跑，用 memory、handoff、re-anchor 等干预定位保持和恢复问题；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评测，论文必须把“形成、漂移、恢复”的机制性结论降级，不能用最终输出反推内部原因。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进入主实验前必须过五关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user-state 换成语义等价 signal view 后，must-change / must-hold 判断应稳定；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说明评分矩阵出现“对的人更适合自己的版本”的对角优势，但它不解释模型为什么做到，也不会自动排除长度等因素。因此还要报告：语义等价 views 中最差的 CFA、不同 views 间的最大差距（Cue Gap）、must-change/must-hold 一致率，以及只改无关 cue 后分数是否变化。</w:t>
      </w:r>
    </w:p>
    <w:p>
      <w:pPr>
        <w:pStyle w:val="Heading2"/>
      </w:pPr>
      <w:r>
        <w:t>8.3 长程能力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Recovery：重新提醒或纠正后，表现恢复了多少；</w:t>
      </w:r>
    </w:p>
    <w:p>
      <w:pPr>
        <w:pStyle w:val="ListBullet"/>
      </w:pPr>
      <w:r>
        <w:rPr>
          <w:rFonts w:ascii="Calibri" w:hAnsi="Calibri" w:eastAsia="PingFang SC"/>
        </w:rPr>
        <w:t>Side effect：修复个性化问题时是否损害事实、任务质量或隐私。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和关键隐私门槛，再报告 PF−MP、CFA、cue robustness、Retention、Recovery、隐私违规率、成本和时间。不同 evidence track、工具预算和 agent 类型不应混排。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收到纠正后仍不能恢复。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回答不能是“我们任务更多”，也不能说 PDR-Bench 没有 persona-aware rubric。应先承认它已经测单用户条件下的绝对适配；再证明 DeepAlign 的跨用户 2×2 对角优势、预冻结变化/不变项和跨线索表达测试各自提供了新的、可验证的信息。Atlas、JudgeBench 和长程压力测试用于外部效度与失效诊断。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能不能证明形成、保持和恢复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反事实任务族能识别交付物的用户特异性，语义等价信号测试再检查其是否只依赖表面 persona 线索；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若完成诊断子集，可以报告保持、更新和恢复的受控证据。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 xml:space="preserve">. </w:t>
      </w:r>
      <w:hyperlink r:id="rId40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https://evalscope.readthedocs.io/en/refact_readme/get_started/introduction.html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Zeng et al. </w:t>
      </w:r>
      <w:r>
        <w:rPr>
          <w:rFonts w:ascii="Calibri" w:hAnsi="Calibri" w:eastAsia="PingFang SC"/>
          <w:i/>
          <w:sz w:val="19"/>
        </w:rPr>
        <w:t>Setoka</w:t>
      </w:r>
      <w:r>
        <w:rPr>
          <w:rFonts w:ascii="Calibri" w:hAnsi="Calibri" w:eastAsia="PingFang SC"/>
          <w:sz w:val="19"/>
        </w:rPr>
        <w:t>. arXiv:2607.27056,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Qian et al. </w:t>
      </w:r>
      <w:r>
        <w:rPr>
          <w:rFonts w:ascii="Calibri" w:hAnsi="Calibri" w:eastAsia="PingFang SC"/>
          <w:i/>
          <w:sz w:val="19"/>
        </w:rPr>
        <w:t>Toward User-Conditioned Evaluation of Personal LLM Agents under Temporal Interventions</w:t>
      </w:r>
      <w:r>
        <w:rPr>
          <w:rFonts w:ascii="Calibri" w:hAnsi="Calibri" w:eastAsia="PingFang SC"/>
          <w:sz w:val="19"/>
        </w:rPr>
        <w:t>. arXiv:2607.21635,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Yang et al. </w:t>
      </w:r>
      <w:r>
        <w:rPr>
          <w:rFonts w:ascii="Calibri" w:hAnsi="Calibri" w:eastAsia="PingFang SC"/>
          <w:i/>
          <w:sz w:val="19"/>
        </w:rPr>
        <w:t>PersonaTrail</w:t>
      </w:r>
      <w:r>
        <w:rPr>
          <w:rFonts w:ascii="Calibri" w:hAnsi="Calibri" w:eastAsia="PingFang SC"/>
          <w:sz w:val="19"/>
        </w:rPr>
        <w:t>. arXiv:2607.20482,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[16] Todisco et al. </w:t>
      </w:r>
      <w:r>
        <w:rPr>
          <w:rFonts w:ascii="Calibri" w:hAnsi="Calibri" w:eastAsia="PingFang SC"/>
          <w:i/>
          <w:sz w:val="19"/>
        </w:rPr>
        <w:t>TARS</w:t>
      </w:r>
      <w:r>
        <w:rPr>
          <w:rFonts w:ascii="Calibri" w:hAnsi="Calibri" w:eastAsia="PingFang SC"/>
          <w:sz w:val="19"/>
        </w:rPr>
        <w:t>. arXiv:2607.15948,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[17] Yang. </w:t>
      </w:r>
      <w:r>
        <w:rPr>
          <w:rFonts w:ascii="Calibri" w:hAnsi="Calibri" w:eastAsia="PingFang SC"/>
          <w:i/>
          <w:sz w:val="19"/>
        </w:rPr>
        <w:t>Self-Aware Recursively Self-Improving Agents for Personal Singularity</w:t>
      </w:r>
      <w:r>
        <w:rPr>
          <w:rFonts w:ascii="Calibri" w:hAnsi="Calibri" w:eastAsia="PingFang SC"/>
          <w:sz w:val="19"/>
        </w:rPr>
        <w:t>. arXiv:2607.12254,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[18] Mao et al. </w:t>
      </w:r>
      <w:r>
        <w:rPr>
          <w:rFonts w:ascii="Calibri" w:hAnsi="Calibri" w:eastAsia="PingFang SC"/>
          <w:i/>
          <w:sz w:val="19"/>
        </w:rPr>
        <w:t>Agents Don't Just Agree, They Remember</w:t>
      </w:r>
      <w:r>
        <w:rPr>
          <w:rFonts w:ascii="Calibri" w:hAnsi="Calibri" w:eastAsia="PingFang SC"/>
          <w:sz w:val="19"/>
        </w:rPr>
        <w:t>. arXiv:2607.10526,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[19] Yang et al. </w:t>
      </w:r>
      <w:r>
        <w:rPr>
          <w:rFonts w:ascii="Calibri" w:hAnsi="Calibri" w:eastAsia="PingFang SC"/>
          <w:i/>
          <w:sz w:val="19"/>
        </w:rPr>
        <w:t>APeB</w:t>
      </w:r>
      <w:r>
        <w:rPr>
          <w:rFonts w:ascii="Calibri" w:hAnsi="Calibri" w:eastAsia="PingFang SC"/>
          <w:sz w:val="19"/>
        </w:rPr>
        <w:t>. arXiv:2607.03162,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[20] Salemi et al. </w:t>
      </w:r>
      <w:r>
        <w:rPr>
          <w:rFonts w:ascii="Calibri" w:hAnsi="Calibri" w:eastAsia="PingFang SC"/>
          <w:i/>
          <w:sz w:val="19"/>
        </w:rPr>
        <w:t>LaMP: When Large Language Models Meet Personalization</w:t>
      </w:r>
      <w:r>
        <w:rPr>
          <w:rFonts w:ascii="Calibri" w:hAnsi="Calibri" w:eastAsia="PingFang SC"/>
          <w:sz w:val="19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https://aclanthology.org/2024.acl-long.399/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[21] Singh et al. </w:t>
      </w:r>
      <w:r>
        <w:rPr>
          <w:rFonts w:ascii="Calibri" w:hAnsi="Calibri" w:eastAsia="PingFang SC"/>
          <w:i/>
          <w:sz w:val="19"/>
        </w:rPr>
        <w:t>Personal Large Language Model Agents: A Case Study on Tailored Travel Planning</w:t>
      </w:r>
      <w:r>
        <w:rPr>
          <w:rFonts w:ascii="Calibri" w:hAnsi="Calibri" w:eastAsia="PingFang SC"/>
          <w:sz w:val="19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https://aclanthology.org/2024.emnlp-industry.37/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[22] Zhao et al. </w:t>
      </w:r>
      <w:r>
        <w:rPr>
          <w:rFonts w:ascii="Calibri" w:hAnsi="Calibri" w:eastAsia="PingFang SC"/>
          <w:i/>
          <w:sz w:val="19"/>
        </w:rPr>
        <w:t>PersonaLens</w:t>
      </w:r>
      <w:r>
        <w:rPr>
          <w:rFonts w:ascii="Calibri" w:hAnsi="Calibri" w:eastAsia="PingFang SC"/>
          <w:sz w:val="19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https://aclanthology.org/2025.findings-acl.927/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[23] Jiang et al. </w:t>
      </w:r>
      <w:r>
        <w:rPr>
          <w:rFonts w:ascii="Calibri" w:hAnsi="Calibri" w:eastAsia="PingFang SC"/>
          <w:i/>
          <w:sz w:val="19"/>
        </w:rPr>
        <w:t>Know Me, Respond to Me</w:t>
      </w:r>
      <w:r>
        <w:rPr>
          <w:rFonts w:ascii="Calibri" w:hAnsi="Calibri" w:eastAsia="PingFang SC"/>
          <w:sz w:val="19"/>
        </w:rPr>
        <w:t>. arXiv:2504.14225,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[24] Hao et al. </w:t>
      </w:r>
      <w:r>
        <w:rPr>
          <w:rFonts w:ascii="Calibri" w:hAnsi="Calibri" w:eastAsia="PingFang SC"/>
          <w:i/>
          <w:sz w:val="19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9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https://aclanthology.org/2025.acl-long.1064/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[25] Cheng et al. </w:t>
      </w:r>
      <w:r>
        <w:rPr>
          <w:rFonts w:ascii="Calibri" w:hAnsi="Calibri" w:eastAsia="PingFang SC"/>
          <w:i/>
          <w:sz w:val="19"/>
        </w:rPr>
        <w:t>ToolSpectrum</w:t>
      </w:r>
      <w:r>
        <w:rPr>
          <w:rFonts w:ascii="Calibri" w:hAnsi="Calibri" w:eastAsia="PingFang SC"/>
          <w:sz w:val="19"/>
        </w:rPr>
        <w:t>. arXiv:2505.13176,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[26] Zhang et al. </w:t>
      </w:r>
      <w:r>
        <w:rPr>
          <w:rFonts w:ascii="Calibri" w:hAnsi="Calibri" w:eastAsia="PingFang SC"/>
          <w:i/>
          <w:sz w:val="19"/>
        </w:rPr>
        <w:t>PRIME</w:t>
      </w:r>
      <w:r>
        <w:rPr>
          <w:rFonts w:ascii="Calibri" w:hAnsi="Calibri" w:eastAsia="PingFang SC"/>
          <w:sz w:val="19"/>
        </w:rPr>
        <w:t xml:space="preserve">. EMNLP, 2025. </w:t>
      </w:r>
      <w:hyperlink r:id="rId4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https://aclanthology.org/2025.emnlp-main.1711/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[27] Li et al. </w:t>
      </w:r>
      <w:r>
        <w:rPr>
          <w:rFonts w:ascii="Calibri" w:hAnsi="Calibri" w:eastAsia="PingFang SC"/>
          <w:i/>
          <w:sz w:val="19"/>
        </w:rPr>
        <w:t>Personalized Deep Research: A User-Centric Framework, Dataset, and Hybrid Evaluation</w:t>
      </w:r>
      <w:r>
        <w:rPr>
          <w:rFonts w:ascii="Calibri" w:hAnsi="Calibri" w:eastAsia="PingFang SC"/>
          <w:sz w:val="19"/>
        </w:rPr>
        <w:t>. arXiv:2605.10530,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[28] Balepur et al. </w:t>
      </w:r>
      <w:r>
        <w:rPr>
          <w:rFonts w:ascii="Calibri" w:hAnsi="Calibri" w:eastAsia="PingFang SC"/>
          <w:i/>
          <w:sz w:val="19"/>
        </w:rPr>
        <w:t>Language Models Don't Know What You Want</w:t>
      </w:r>
      <w:r>
        <w:rPr>
          <w:rFonts w:ascii="Calibri" w:hAnsi="Calibri" w:eastAsia="PingFang SC"/>
          <w:sz w:val="19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https://aclanthology.org/2026.acl-long.723/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[29] Garbacea et al. </w:t>
      </w:r>
      <w:r>
        <w:rPr>
          <w:rFonts w:ascii="Calibri" w:hAnsi="Calibri" w:eastAsia="PingFang SC"/>
          <w:i/>
          <w:sz w:val="19"/>
        </w:rPr>
        <w:t>Personalized Benchmarking: Evaluating LLMs by Individual Preferences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4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https://aclanthology.org/2026.findings-acl.31/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[30] Feng et al. </w:t>
      </w:r>
      <w:r>
        <w:rPr>
          <w:rFonts w:ascii="Calibri" w:hAnsi="Calibri" w:eastAsia="PingFang SC"/>
          <w:i/>
          <w:sz w:val="19"/>
        </w:rPr>
        <w:t>How Does Personalized Memory Shape LLM Behavior?</w:t>
      </w:r>
      <w:r>
        <w:rPr>
          <w:rFonts w:ascii="Calibri" w:hAnsi="Calibri" w:eastAsia="PingFang SC"/>
          <w:sz w:val="19"/>
        </w:rPr>
        <w:t xml:space="preserve"> arXiv:2601.16621,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[31] Liang et al. </w:t>
      </w:r>
      <w:r>
        <w:rPr>
          <w:rFonts w:ascii="Calibri" w:hAnsi="Calibri" w:eastAsia="PingFang SC"/>
          <w:i/>
          <w:sz w:val="19"/>
        </w:rPr>
        <w:t>Learning Personalized Agents from Human Feedback</w:t>
      </w:r>
      <w:r>
        <w:rPr>
          <w:rFonts w:ascii="Calibri" w:hAnsi="Calibri" w:eastAsia="PingFang SC"/>
          <w:sz w:val="19"/>
        </w:rPr>
        <w:t>. arXiv:2602.16173,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[32] In et al. </w:t>
      </w:r>
      <w:r>
        <w:rPr>
          <w:rFonts w:ascii="Calibri" w:hAnsi="Calibri" w:eastAsia="PingFang SC"/>
          <w:i/>
          <w:sz w:val="19"/>
        </w:rPr>
        <w:t>Personalize-then-Store</w:t>
      </w:r>
      <w:r>
        <w:rPr>
          <w:rFonts w:ascii="Calibri" w:hAnsi="Calibri" w:eastAsia="PingFang SC"/>
          <w:sz w:val="19"/>
        </w:rPr>
        <w:t>. arXiv:2605.25535,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[33] Uddin et al. </w:t>
      </w:r>
      <w:r>
        <w:rPr>
          <w:rFonts w:ascii="Calibri" w:hAnsi="Calibri" w:eastAsia="PingFang SC"/>
          <w:i/>
          <w:sz w:val="19"/>
        </w:rPr>
        <w:t>From Recall to Forgetting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https://aclanthology.org/2026.findings-acl.1337/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[34] Hu et al. </w:t>
      </w:r>
      <w:r>
        <w:rPr>
          <w:rFonts w:ascii="Calibri" w:hAnsi="Calibri" w:eastAsia="PingFang SC"/>
          <w:i/>
          <w:sz w:val="19"/>
        </w:rPr>
        <w:t>CloneMem</w:t>
      </w:r>
      <w:r>
        <w:rPr>
          <w:rFonts w:ascii="Calibri" w:hAnsi="Calibri" w:eastAsia="PingFang SC"/>
          <w:sz w:val="19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https://aclanthology.org/2026.acl-long.1549/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[35] Shen et al. </w:t>
      </w:r>
      <w:r>
        <w:rPr>
          <w:rFonts w:ascii="Calibri" w:hAnsi="Calibri" w:eastAsia="PingFang SC"/>
          <w:i/>
          <w:sz w:val="19"/>
        </w:rPr>
        <w:t>Mem2ActBench</w:t>
      </w:r>
      <w:r>
        <w:rPr>
          <w:rFonts w:ascii="Calibri" w:hAnsi="Calibri" w:eastAsia="PingFang SC"/>
          <w:sz w:val="19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https://aclanthology.org/2026.acl-long.370/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[36] Chen et al. </w:t>
      </w:r>
      <w:r>
        <w:rPr>
          <w:rFonts w:ascii="Calibri" w:hAnsi="Calibri" w:eastAsia="PingFang SC"/>
          <w:i/>
          <w:sz w:val="19"/>
        </w:rPr>
        <w:t>Towards Preference Following in Tool Calling Language Agents</w:t>
      </w:r>
      <w:r>
        <w:rPr>
          <w:rFonts w:ascii="Calibri" w:hAnsi="Calibri" w:eastAsia="PingFang SC"/>
          <w:sz w:val="19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https://aclanthology.org/2026.findings-acl.1676/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[37] Lyu et al. </w:t>
      </w:r>
      <w:r>
        <w:rPr>
          <w:rFonts w:ascii="Calibri" w:hAnsi="Calibri" w:eastAsia="PingFang SC"/>
          <w:i/>
          <w:sz w:val="19"/>
        </w:rPr>
        <w:t>PersonalAlign</w:t>
      </w:r>
      <w:r>
        <w:rPr>
          <w:rFonts w:ascii="Calibri" w:hAnsi="Calibri" w:eastAsia="PingFang SC"/>
          <w:sz w:val="19"/>
        </w:rPr>
        <w:t xml:space="preserve">. ACL, 2026. </w:t>
      </w:r>
      <w:hyperlink r:id="rId43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https://aclanthology.org/2026.acl-long.1669/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[38] Wang et al. </w:t>
      </w:r>
      <w:r>
        <w:rPr>
          <w:rFonts w:ascii="Calibri" w:hAnsi="Calibri" w:eastAsia="PingFang SC"/>
          <w:i/>
          <w:sz w:val="19"/>
        </w:rPr>
        <w:t>OPeRA</w:t>
      </w:r>
      <w:r>
        <w:rPr>
          <w:rFonts w:ascii="Calibri" w:hAnsi="Calibri" w:eastAsia="PingFang SC"/>
          <w:sz w:val="19"/>
        </w:rPr>
        <w:t xml:space="preserve">. ACL, 2026. </w:t>
      </w:r>
      <w:hyperlink r:id="rId4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https://aclanthology.org/2026.acl-long.2033/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[39] Guo et al. </w:t>
      </w:r>
      <w:r>
        <w:rPr>
          <w:rFonts w:ascii="Calibri" w:hAnsi="Calibri" w:eastAsia="PingFang SC"/>
          <w:i/>
          <w:sz w:val="19"/>
        </w:rPr>
        <w:t>When Personalization Legitimizes Risks</w:t>
      </w:r>
      <w:r>
        <w:rPr>
          <w:rFonts w:ascii="Calibri" w:hAnsi="Calibri" w:eastAsia="PingFang SC"/>
          <w:sz w:val="19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https://aclanthology.org/2026.acl-long.1260/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[40] Weeber et al. </w:t>
      </w:r>
      <w:r>
        <w:rPr>
          <w:rFonts w:ascii="Calibri" w:hAnsi="Calibri" w:eastAsia="PingFang SC"/>
          <w:i/>
          <w:sz w:val="19"/>
        </w:rPr>
        <w:t>One Persona, Many Cues, Different Results</w:t>
      </w:r>
      <w:r>
        <w:rPr>
          <w:rFonts w:ascii="Calibri" w:hAnsi="Calibri" w:eastAsia="PingFang SC"/>
          <w:sz w:val="19"/>
        </w:rPr>
        <w:t xml:space="preserve">. ACL, 2026. </w:t>
      </w:r>
      <w:hyperlink r:id="rId38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https://aclanthology.org/2026.acl-long.2079/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[41] Qiu et al. </w:t>
      </w:r>
      <w:r>
        <w:rPr>
          <w:rFonts w:ascii="Calibri" w:hAnsi="Calibri" w:eastAsia="PingFang SC"/>
          <w:i/>
          <w:sz w:val="19"/>
        </w:rPr>
        <w:t>Preference-Aware Rubric Learning for Personalized Evaluation</w:t>
      </w:r>
      <w:r>
        <w:rPr>
          <w:rFonts w:ascii="Calibri" w:hAnsi="Calibri" w:eastAsia="PingFang SC"/>
          <w:sz w:val="19"/>
        </w:rPr>
        <w:t xml:space="preserve">. arXiv:2605.31545, 2026. </w:t>
      </w:r>
      <w:hyperlink r:id="rId39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aclanthology.org/2026.acl-long.2079/" TargetMode="External"/><Relationship Id="rId39" Type="http://schemas.openxmlformats.org/officeDocument/2006/relationships/hyperlink" Target="https://arxiv.org/abs/2605.31545" TargetMode="External"/><Relationship Id="rId40" Type="http://schemas.openxmlformats.org/officeDocument/2006/relationships/hyperlink" Target="https://evalscope.readthedocs.io/en/refact_readme/get_started/introduction.html" TargetMode="External"/><Relationship Id="rId41" Type="http://schemas.openxmlformats.org/officeDocument/2006/relationships/hyperlink" Target="https://aclanthology.org/2025.emnlp-main.1711/" TargetMode="External"/><Relationship Id="rId42" Type="http://schemas.openxmlformats.org/officeDocument/2006/relationships/hyperlink" Target="https://aclanthology.org/2026.findings-acl.31/" TargetMode="External"/><Relationship Id="rId43" Type="http://schemas.openxmlformats.org/officeDocument/2006/relationships/hyperlink" Target="https://aclanthology.org/2026.acl-long.1669/" TargetMode="External"/><Relationship Id="rId44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