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长程 Deep Research 智能体个性化最终交付物评测</w:t>
      </w:r>
    </w:p>
    <w:p>
      <w:pPr>
        <w:spacing w:after="520"/>
        <w:jc w:val="center"/>
        <w:pBdr>
          <w:bottom w:val="single" w:sz="8" w:space="8" w:color="7A9BB7"/>
        </w:pBdr>
      </w:pPr>
      <w:r>
        <w:rPr>
          <w:rFonts w:ascii="Calibri" w:hAnsi="Calibri" w:eastAsia="PingFang SC"/>
          <w:b/>
          <w:color w:val="5B6B7A"/>
          <w:sz w:val="21"/>
        </w:rPr>
        <w:t>Benchmark · Evaluation · Human-Centered Agents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v0.20 · 组内讨论稿</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3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Evaluation Atlas · 反事实特异性 · Cue Robustness · JudgeBench</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固定任务与证据，只改变用户；用跨用户交叉评分识别交付物的反事实特异性，并以跨 cue 稳健性限制主张。</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研究概要与可证伪假设</w:t>
      </w:r>
    </w:p>
    <w:p>
      <w:pPr>
        <w:numPr>
          <w:ilvl w:val="0"/>
          <w:numId w:val="10"/>
        </w:numPr>
        <w:spacing w:after="100" w:line="290" w:lineRule="auto"/>
        <w:ind w:left="540" w:hanging="279"/>
      </w:pPr>
      <w:r>
        <w:rPr>
          <w:rFonts w:ascii="Calibri" w:hAnsi="Calibri" w:eastAsia="PingFang SC"/>
        </w:rPr>
        <w:t>关键文献精读与设计启示</w:t>
      </w:r>
    </w:p>
    <w:p>
      <w:pPr>
        <w:numPr>
          <w:ilvl w:val="0"/>
          <w:numId w:val="10"/>
        </w:numPr>
        <w:spacing w:after="100" w:line="290" w:lineRule="auto"/>
        <w:ind w:left="540" w:hanging="279"/>
      </w:pPr>
      <w:r>
        <w:rPr>
          <w:rFonts w:ascii="Calibri" w:hAnsi="Calibri" w:eastAsia="PingFang SC"/>
        </w:rPr>
        <w:t>Evaluation Atlas 与双轴 taxonomy</w:t>
      </w:r>
    </w:p>
    <w:p>
      <w:pPr>
        <w:numPr>
          <w:ilvl w:val="0"/>
          <w:numId w:val="10"/>
        </w:numPr>
        <w:spacing w:after="100" w:line="290" w:lineRule="auto"/>
        <w:ind w:left="540" w:hanging="279"/>
      </w:pPr>
      <w:r>
        <w:rPr>
          <w:rFonts w:ascii="Calibri" w:hAnsi="Calibri" w:eastAsia="PingFang SC"/>
        </w:rPr>
        <w:t>Benchmark 数据结构与构建流程</w:t>
      </w:r>
    </w:p>
    <w:p>
      <w:pPr>
        <w:numPr>
          <w:ilvl w:val="0"/>
          <w:numId w:val="10"/>
        </w:numPr>
        <w:spacing w:after="100" w:line="290" w:lineRule="auto"/>
        <w:ind w:left="540" w:hanging="279"/>
      </w:pPr>
      <w:r>
        <w:rPr>
          <w:rFonts w:ascii="Calibri" w:hAnsi="Calibri" w:eastAsia="PingFang SC"/>
        </w:rPr>
        <w:t>Rubric、Metrics 与 Judge</w:t>
      </w:r>
    </w:p>
    <w:p>
      <w:pPr>
        <w:numPr>
          <w:ilvl w:val="0"/>
          <w:numId w:val="10"/>
        </w:numPr>
        <w:spacing w:after="100" w:line="290" w:lineRule="auto"/>
        <w:ind w:left="540" w:hanging="279"/>
      </w:pPr>
      <w:r>
        <w:rPr>
          <w:rFonts w:ascii="Calibri" w:hAnsi="Calibri" w:eastAsia="PingFang SC"/>
        </w:rPr>
        <w:t>实验矩阵与平台实现</w:t>
      </w:r>
    </w:p>
    <w:p>
      <w:pPr>
        <w:numPr>
          <w:ilvl w:val="0"/>
          <w:numId w:val="10"/>
        </w:numPr>
        <w:spacing w:after="100" w:line="290" w:lineRule="auto"/>
        <w:ind w:left="540" w:hanging="279"/>
      </w:pPr>
      <w:r>
        <w:rPr>
          <w:rFonts w:ascii="Calibri" w:hAnsi="Calibri" w:eastAsia="PingFang SC"/>
        </w:rPr>
        <w:t>严格审稿风险与防守</w:t>
      </w:r>
    </w:p>
    <w:p>
      <w:pPr>
        <w:numPr>
          <w:ilvl w:val="0"/>
          <w:numId w:val="10"/>
        </w:numPr>
        <w:spacing w:after="100" w:line="290" w:lineRule="auto"/>
        <w:ind w:left="540" w:hanging="279"/>
      </w:pPr>
      <w:r>
        <w:rPr>
          <w:rFonts w:ascii="Calibri" w:hAnsi="Calibri" w:eastAsia="PingFang SC"/>
        </w:rPr>
        <w:t>里程碑、论文结构与最小可行版本</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阅读提示：主图给出整体逻辑；第 7–8 节是本 proposal 的测量学核心；第 11 节按顶会审稿视角集中列出可预见攻击与防守。</w:t>
      </w:r>
    </w:p>
    <w:p>
      <w:r>
        <w:br w:type="page"/>
      </w:r>
    </w:p>
    <w:p>
      <w:pPr>
        <w:pStyle w:val="Heading1"/>
      </w:pPr>
      <w:r>
        <w:t>研究概要</w:t>
      </w:r>
    </w:p>
    <w:p>
      <w:r>
        <w:rPr>
          <w:rFonts w:ascii="Calibri" w:hAnsi="Calibri" w:eastAsia="PingFang SC"/>
        </w:rPr>
        <w:t>Deep Research 智能体已经能检索、综合并交付长报告，但“报告正确”不等于“报告适合这个用户”。相关研究正在沿一条清楚的能力链推进：LaMP 和 PersonaLens 先把用户历史与任务型对话纳入输出评价；</w:t>
      </w:r>
      <w:hyperlink r:id="rId11">
        <w:r>
          <w:rPr>
            <w:rFonts w:ascii="Calibri" w:hAnsi="Calibri" w:eastAsia="PingFang SC"/>
            <w:color w:val="2E74B5"/>
            <w:u w:val="single"/>
          </w:rPr>
          <w:t>[33]</w:t>
        </w:r>
      </w:hyperlink>
      <w:hyperlink r:id="rId12">
        <w:r>
          <w:rPr>
            <w:rFonts w:ascii="Calibri" w:hAnsi="Calibri" w:eastAsia="PingFang SC"/>
            <w:color w:val="2E74B5"/>
            <w:u w:val="single"/>
          </w:rPr>
          <w:t>[35]</w:t>
        </w:r>
      </w:hyperlink>
      <w:r>
        <w:rPr>
          <w:rFonts w:ascii="Calibri" w:hAnsi="Calibri" w:eastAsia="PingFang SC"/>
        </w:rPr>
        <w:t xml:space="preserve"> TravelPlanner+、ETAPP、ToolSpectrum、APOLLO、Mem2ActBench 与 AndroidIntent 又把个性化从文本生成推进到规划、工具选择和 GUI 行动；</w:t>
      </w:r>
      <w:hyperlink r:id="rId13">
        <w:r>
          <w:rPr>
            <w:rFonts w:ascii="Calibri" w:hAnsi="Calibri" w:eastAsia="PingFang SC"/>
            <w:color w:val="2E74B5"/>
            <w:u w:val="single"/>
          </w:rPr>
          <w:t>[34]</w:t>
        </w:r>
      </w:hyperlink>
      <w:hyperlink r:id="rId14">
        <w:r>
          <w:rPr>
            <w:rFonts w:ascii="Calibri" w:hAnsi="Calibri" w:eastAsia="PingFang SC"/>
            <w:color w:val="2E74B5"/>
            <w:u w:val="single"/>
          </w:rPr>
          <w:t>[37]</w:t>
        </w:r>
      </w:hyperlink>
      <w:hyperlink r:id="rId15">
        <w:r>
          <w:rPr>
            <w:rFonts w:ascii="Calibri" w:hAnsi="Calibri" w:eastAsia="PingFang SC"/>
            <w:color w:val="2E74B5"/>
            <w:u w:val="single"/>
          </w:rPr>
          <w:t>[38]</w:t>
        </w:r>
      </w:hyperlink>
      <w:hyperlink r:id="rId16">
        <w:r>
          <w:rPr>
            <w:rFonts w:ascii="Calibri" w:hAnsi="Calibri" w:eastAsia="PingFang SC"/>
            <w:color w:val="2E74B5"/>
            <w:u w:val="single"/>
          </w:rPr>
          <w:t>[49]</w:t>
        </w:r>
      </w:hyperlink>
      <w:hyperlink r:id="rId17">
        <w:r>
          <w:rPr>
            <w:rFonts w:ascii="Calibri" w:hAnsi="Calibri" w:eastAsia="PingFang SC"/>
            <w:color w:val="2E74B5"/>
            <w:u w:val="single"/>
          </w:rPr>
          <w:t>[48]</w:t>
        </w:r>
      </w:hyperlink>
      <w:hyperlink r:id="rId18">
        <w:r>
          <w:rPr>
            <w:rFonts w:ascii="Calibri" w:hAnsi="Calibri" w:eastAsia="PingFang SC"/>
            <w:color w:val="2E74B5"/>
            <w:u w:val="single"/>
          </w:rPr>
          <w:t>[50]</w:t>
        </w:r>
      </w:hyperlink>
      <w:r>
        <w:rPr>
          <w:rFonts w:ascii="Calibri" w:hAnsi="Calibri" w:eastAsia="PingFang SC"/>
        </w:rPr>
        <w:t xml:space="preserve"> PersonaMem、RPEval、PAHF、PerMemBench、Memora 与 CloneMem 则开始处理画像变化、无关记忆、主动澄清、个性化写入和过期事实。</w:t>
      </w:r>
      <w:hyperlink r:id="rId19">
        <w:r>
          <w:rPr>
            <w:rFonts w:ascii="Calibri" w:hAnsi="Calibri" w:eastAsia="PingFang SC"/>
            <w:color w:val="2E74B5"/>
            <w:u w:val="single"/>
          </w:rPr>
          <w:t>[36]</w:t>
        </w:r>
      </w:hyperlink>
      <w:hyperlink r:id="rId20">
        <w:r>
          <w:rPr>
            <w:rFonts w:ascii="Calibri" w:hAnsi="Calibri" w:eastAsia="PingFang SC"/>
            <w:color w:val="2E74B5"/>
            <w:u w:val="single"/>
          </w:rPr>
          <w:t>[43]</w:t>
        </w:r>
      </w:hyperlink>
      <w:hyperlink r:id="rId21">
        <w:r>
          <w:rPr>
            <w:rFonts w:ascii="Calibri" w:hAnsi="Calibri" w:eastAsia="PingFang SC"/>
            <w:color w:val="2E74B5"/>
            <w:u w:val="single"/>
          </w:rPr>
          <w:t>[44]</w:t>
        </w:r>
      </w:hyperlink>
      <w:hyperlink r:id="rId22">
        <w:r>
          <w:rPr>
            <w:rFonts w:ascii="Calibri" w:hAnsi="Calibri" w:eastAsia="PingFang SC"/>
            <w:color w:val="2E74B5"/>
            <w:u w:val="single"/>
          </w:rPr>
          <w:t>[45]</w:t>
        </w:r>
      </w:hyperlink>
      <w:hyperlink r:id="rId23">
        <w:r>
          <w:rPr>
            <w:rFonts w:ascii="Calibri" w:hAnsi="Calibri" w:eastAsia="PingFang SC"/>
            <w:color w:val="2E74B5"/>
            <w:u w:val="single"/>
          </w:rPr>
          <w:t>[46]</w:t>
        </w:r>
      </w:hyperlink>
      <w:hyperlink r:id="rId24">
        <w:r>
          <w:rPr>
            <w:rFonts w:ascii="Calibri" w:hAnsi="Calibri" w:eastAsia="PingFang SC"/>
            <w:color w:val="2E74B5"/>
            <w:u w:val="single"/>
          </w:rPr>
          <w:t>[47]</w:t>
        </w:r>
      </w:hyperlink>
      <w:r>
        <w:rPr>
          <w:rFonts w:ascii="Calibri" w:hAnsi="Calibri" w:eastAsia="PingFang SC"/>
        </w:rPr>
        <w:t xml:space="preserve"> 因此，本项目不能把“用户理解、记忆或个性化行动无人评测”当作研究空白。</w:t>
      </w:r>
    </w:p>
    <w:p>
      <w:r>
        <w:rPr>
          <w:rFonts w:ascii="Calibri" w:hAnsi="Calibri" w:eastAsia="PingFang SC"/>
        </w:rPr>
        <w:t>真正把问题推到 Deep Research 最终交付物的直接前作已有三条：PDR-Bench 将真实 persona 与动态上下文配到开放式研究任务，并让 LLM 按 task/persona 动态生成个性化 rubric；</w:t>
      </w:r>
      <w:hyperlink r:id="rId25">
        <w:r>
          <w:rPr>
            <w:rFonts w:ascii="Calibri" w:hAnsi="Calibri" w:eastAsia="PingFang SC"/>
            <w:color w:val="2E74B5"/>
            <w:u w:val="single"/>
          </w:rPr>
          <w:t>[4]</w:t>
        </w:r>
      </w:hyperlink>
      <w:r>
        <w:rPr>
          <w:rFonts w:ascii="Calibri" w:hAnsi="Calibri" w:eastAsia="PingFang SC"/>
        </w:rPr>
        <w:t xml:space="preserve"> 另一项 PDR 工作把用户画像放入检索—推理循环，但只覆盖四类任务；</w:t>
      </w:r>
      <w:hyperlink r:id="rId26">
        <w:r>
          <w:rPr>
            <w:rFonts w:ascii="Calibri" w:hAnsi="Calibri" w:eastAsia="PingFang SC"/>
            <w:color w:val="2E74B5"/>
            <w:u w:val="single"/>
          </w:rPr>
          <w:t>[40]</w:t>
        </w:r>
      </w:hyperlink>
      <w:r>
        <w:rPr>
          <w:rFonts w:ascii="Calibri" w:hAnsi="Calibri" w:eastAsia="PingFang SC"/>
        </w:rPr>
        <w:t xml:space="preserve"> MyScholarQA 则在个性化学术调研中发现，合成用户和 LLM judge 会漏掉真人指出的九类细微错误。</w:t>
      </w:r>
      <w:hyperlink r:id="rId27">
        <w:r>
          <w:rPr>
            <w:rFonts w:ascii="Calibri" w:hAnsi="Calibri" w:eastAsia="PingFang SC"/>
            <w:color w:val="2E74B5"/>
            <w:u w:val="single"/>
          </w:rPr>
          <w:t>[41]</w:t>
        </w:r>
      </w:hyperlink>
      <w:r>
        <w:rPr>
          <w:rFonts w:ascii="Calibri" w:hAnsi="Calibri" w:eastAsia="PingFang SC"/>
        </w:rPr>
        <w:t xml:space="preserve"> 因此缺口不是“已有评价只看长度、文风或关键词”，也不是“persona 没有进入 rubric”。更窄的测量问题是：现有个性化 DR 主指标主要判断一份报告在单个 user-task 条件下是否合适，尚未在固定任务、证据、工具和预算后，把两个都合理的目标用户及其交付物放进同一 </w:t>
      </w:r>
      <w:r>
        <w:rPr>
          <w:rFonts w:ascii="Calibri" w:hAnsi="Calibri" w:eastAsia="PingFang SC"/>
          <w:b/>
        </w:rPr>
        <w:t>matched/swapped 交叉评分矩阵</w:t>
      </w:r>
      <w:r>
        <w:rPr>
          <w:rFonts w:ascii="Calibri" w:hAnsi="Calibri" w:eastAsia="PingFang SC"/>
        </w:rPr>
        <w:t>，检验结果对目标用户是否具有反事实特异性。DeepAlign-Bench 因而不以“覆盖更多用户信号”为核心新意，而以</w:t>
      </w:r>
      <w:r>
        <w:rPr>
          <w:rFonts w:ascii="Calibri" w:hAnsi="Calibri" w:eastAsia="PingFang SC"/>
          <w:b/>
        </w:rPr>
        <w:t>广义 DR 最终交付物的用户条件效应识别、纵向压力测试和真人校准 judge</w:t>
      </w:r>
      <w:r>
        <w:rPr>
          <w:rFonts w:ascii="Calibri" w:hAnsi="Calibri" w:eastAsia="PingFang SC"/>
        </w:rPr>
        <w:t>为候选贡献。</w:t>
      </w:r>
    </w:p>
    <w:p>
      <w:r>
        <w:rPr>
          <w:rFonts w:ascii="Calibri" w:hAnsi="Calibri" w:eastAsia="PingFang SC"/>
        </w:rPr>
        <w:t xml:space="preserve">本项目拟构建 </w:t>
      </w:r>
      <w:r>
        <w:rPr>
          <w:rFonts w:ascii="Calibri" w:hAnsi="Calibri" w:eastAsia="PingFang SC"/>
          <w:b/>
        </w:rPr>
        <w:t>DeepAlign-Bench</w:t>
      </w:r>
      <w:r>
        <w:rPr>
          <w:rFonts w:ascii="Calibri" w:hAnsi="Calibri" w:eastAsia="PingFang SC"/>
        </w:rPr>
        <w:t>：一个面向广义长程 Deep Research 的、以最终交付物为核心、可扩展到执行轨迹的个性化评测基准。核心不是“有 persona 时分数是否更高”，而是建立</w:t>
      </w:r>
      <w:r>
        <w:rPr>
          <w:rFonts w:ascii="Calibri" w:hAnsi="Calibri" w:eastAsia="PingFang SC"/>
          <w:b/>
        </w:rPr>
        <w:t>反事实任务族</w:t>
      </w:r>
      <w:r>
        <w:rPr>
          <w:rFonts w:ascii="Calibri" w:hAnsi="Calibri" w:eastAsia="PingFang SC"/>
        </w:rPr>
        <w:t>：固定任务、证据环境与资源预算，只改变目标用户及用户信息的呈现渠道；再检验 agent 是否产生了与差异真值一致的交付物变化，同时保持通用任务质量、事实可靠性、安全与隐私。</w:t>
      </w:r>
    </w:p>
    <w:p>
      <w:r>
        <w:rPr>
          <w:rFonts w:ascii="Calibri" w:hAnsi="Calibri" w:eastAsia="PingFang SC"/>
        </w:rPr>
        <w:t>本项目把</w:t>
      </w:r>
      <w:r>
        <w:rPr>
          <w:rFonts w:ascii="Calibri" w:hAnsi="Calibri" w:eastAsia="PingFang SC"/>
          <w:b/>
        </w:rPr>
        <w:t>元数据本身视为核心研究对象</w:t>
      </w:r>
      <w:r>
        <w:rPr>
          <w:rFonts w:ascii="Calibri" w:hAnsi="Calibri" w:eastAsia="PingFang SC"/>
        </w:rPr>
        <w:t>，而不是数据表末尾的说明字段。每个评测实例由五个平面共同定位：研究任务、研究环境、任务条件化用户状态、用户信号渠道与 agent 系统；再施加获取、忠实保持、利用、更新/恢复四类行为测试算子。任务立方体负责“在哪类研究任务上测”，借鉴 Agent-SafetyBench 的双轴失败 taxonomy 负责“错在哪里、为何发生”。元数据因此同时驱动任务抽样、实验条件生成、rubric 选择、结果切片和覆盖审计。</w:t>
      </w:r>
    </w:p>
    <w:p>
      <w:r>
        <w:rPr>
          <w:rFonts w:ascii="Calibri" w:hAnsi="Calibri" w:eastAsia="PingFang SC"/>
        </w:rPr>
        <w:t>“尽可能覆盖所有 DR 模式”不等于运行所有元数据取值的笛卡尔积。两个月论文版冻结一个可扩展 ontology，但用预注册的分数因子设计选择高信息量组合：24 个 counterfactual family、每题两个强对比用户、四个核心信号条件、三类核心 agent；错配、无关信息、冲突/过期、长程稀释和动态更新只在 8 个 anchor family 上做压力测试。每个任务在运行前冻结元数据与预期失败机制，运行后再独立标注实际错误。工程上采用 OpenCompass 的配置—推理—评估—汇总解耦架构，并吸收 EvalScope 的 adapter、arena 和报告机制；评估上以规则、证据核验、强通用 judge 与真人评价为两个月主线，SFT scorer 降为通过主实验后才启动的可选效率研究。</w:t>
      </w:r>
    </w:p>
    <w:p>
      <w:r>
        <w:rPr>
          <w:rFonts w:ascii="Calibri" w:hAnsi="Calibri" w:eastAsia="PingFang SC"/>
          <w:b/>
        </w:rPr>
        <w:t>一句话研究目标：</w:t>
      </w:r>
      <w:r>
        <w:rPr>
          <w:rFonts w:ascii="Calibri" w:hAnsi="Calibri" w:eastAsia="PingFang SC"/>
        </w:rPr>
        <w:t>在不降低事实性和任务完成质量的前提下，测量长程智能体能否从多种来源稳定利用任务相关用户状态，在执行干扰中保持并更新必要约束，从而交付对目标用户具有可验证特异价值的最终产物；只有受控轨迹实验完成后，才讨论内部形成、保持或恢复机制。</w:t>
      </w:r>
    </w:p>
    <w:p>
      <w:pPr>
        <w:pStyle w:val="Heading1"/>
      </w:pPr>
      <w:r>
        <w:t>1. 研究问题与可证伪假设</w:t>
      </w:r>
    </w:p>
    <w:p>
      <w:pPr>
        <w:pStyle w:val="Heading2"/>
      </w:pPr>
      <w:r>
        <w:t>1.1 核心研究问题</w:t>
      </w:r>
    </w:p>
    <w:p>
      <w:r>
        <w:rPr>
          <w:rFonts w:ascii="Calibri" w:hAnsi="Calibri" w:eastAsia="PingFang SC"/>
          <w:b/>
        </w:rPr>
        <w:t>RQ1：个性化是否必要且可测？</w:t>
      </w:r>
      <w:r>
        <w:rPr>
          <w:rFonts w:ascii="Calibri" w:hAnsi="Calibri" w:eastAsia="PingFang SC"/>
        </w:rPr>
        <w:t xml:space="preserve"> 对同一任务和同一证据，不同用户的合格交付物是否存在稳定、可复核的差异；这些差异能否被原子化 rubric 与目标用户偏好共同测量？</w:t>
      </w:r>
    </w:p>
    <w:p>
      <w:r>
        <w:rPr>
          <w:rFonts w:ascii="Calibri" w:hAnsi="Calibri" w:eastAsia="PingFang SC"/>
          <w:b/>
        </w:rPr>
        <w:t>RQ2：用户信息的来源是否影响个性化？</w:t>
      </w:r>
      <w:r>
        <w:rPr>
          <w:rFonts w:ascii="Calibri" w:hAnsi="Calibri" w:eastAsia="PingFang SC"/>
        </w:rPr>
        <w:t xml:space="preserve"> 结构化 persona、任务简报中的显式约束、澄清对话、长期对话历史、行为轨迹、私有工作区材料、纠正反馈和动态状态更新，分别能带来多少有效增益与多少误用风险？</w:t>
      </w:r>
    </w:p>
    <w:p>
      <w:r>
        <w:rPr>
          <w:rFonts w:ascii="Calibri" w:hAnsi="Calibri" w:eastAsia="PingFang SC"/>
          <w:b/>
        </w:rPr>
        <w:t>RQ3：长程执行是否导致用户模型漂移？</w:t>
      </w:r>
      <w:r>
        <w:rPr>
          <w:rFonts w:ascii="Calibri" w:hAnsi="Calibri" w:eastAsia="PingFang SC"/>
        </w:rPr>
        <w:t xml:space="preserve"> 随执行长度、工具返回、专业材料、子 agent 交接和上下文噪声增加，个性化适配是否出现形成失败、表征衰减、表征仍在但不使用、冲突误解或过度个性化？</w:t>
      </w:r>
    </w:p>
    <w:p>
      <w:r>
        <w:rPr>
          <w:rFonts w:ascii="Calibri" w:hAnsi="Calibri" w:eastAsia="PingFang SC"/>
          <w:b/>
        </w:rPr>
        <w:t>RQ4：不同 agent 架构的失效模式是否不同？</w:t>
      </w:r>
      <w:r>
        <w:rPr>
          <w:rFonts w:ascii="Calibri" w:hAnsi="Calibri" w:eastAsia="PingFang SC"/>
        </w:rPr>
        <w:t xml:space="preserve"> 商业 Deep Research、通用搜索 agent、多 agent 系统、代码 agent 和开放源实现，在用户信息获取、记忆、规划、交付物生成与修复方面是否呈现可重复的差异？</w:t>
      </w:r>
    </w:p>
    <w:p>
      <w:r>
        <w:rPr>
          <w:rFonts w:ascii="Calibri" w:hAnsi="Calibri" w:eastAsia="PingFang SC"/>
          <w:b/>
        </w:rPr>
        <w:t>RQ5：怎样的恢复或 steering 方法有效？</w:t>
      </w:r>
      <w:r>
        <w:rPr>
          <w:rFonts w:ascii="Calibri" w:hAnsi="Calibri" w:eastAsia="PingFang SC"/>
        </w:rPr>
        <w:t xml:space="preserve"> 固定重申 persona、检索相关记忆、重新澄清、用户模型摘要、计划级约束、生成前检查、外部 verifier 等方法，能否恢复个性化，同时不伤害通用任务质量？</w:t>
      </w:r>
    </w:p>
    <w:p>
      <w:pPr>
        <w:pStyle w:val="Heading2"/>
      </w:pPr>
      <w:r>
        <w:t>1.2 预注册式假设</w:t>
      </w:r>
    </w:p>
    <w:p>
      <w:pPr>
        <w:pStyle w:val="ListBullet"/>
      </w:pPr>
      <w:r>
        <w:rPr>
          <w:rFonts w:ascii="Calibri" w:hAnsi="Calibri" w:eastAsia="PingFang SC"/>
          <w:b/>
        </w:rPr>
        <w:t>H1（反事实适配）</w:t>
      </w:r>
      <w:r>
        <w:rPr>
          <w:rFonts w:ascii="Calibri" w:hAnsi="Calibri" w:eastAsia="PingFang SC"/>
        </w:rPr>
        <w:t>：在同任务同证据条件下，前沿 agent 的“匹配用户报告”相对“交换用户报告”将取得显著正向的反事实适配优势，但该优势在非结构化历史条件下显著小于结构化 persona 条件。</w:t>
      </w:r>
    </w:p>
    <w:p>
      <w:pPr>
        <w:pStyle w:val="ListBullet"/>
      </w:pPr>
      <w:r>
        <w:rPr>
          <w:rFonts w:ascii="Calibri" w:hAnsi="Calibri" w:eastAsia="PingFang SC"/>
          <w:b/>
        </w:rPr>
        <w:t>H2（长程衰减）</w:t>
      </w:r>
      <w:r>
        <w:rPr>
          <w:rFonts w:ascii="Calibri" w:hAnsi="Calibri" w:eastAsia="PingFang SC"/>
        </w:rPr>
        <w:t>：个性化适配随有效干扰长度增加而下降；下降幅度不能完全由总任务质量下降解释。</w:t>
      </w:r>
    </w:p>
    <w:p>
      <w:pPr>
        <w:pStyle w:val="ListBullet"/>
      </w:pPr>
      <w:r>
        <w:rPr>
          <w:rFonts w:ascii="Calibri" w:hAnsi="Calibri" w:eastAsia="PingFang SC"/>
          <w:b/>
        </w:rPr>
        <w:t>H3（利用缺口）</w:t>
      </w:r>
      <w:r>
        <w:rPr>
          <w:rFonts w:ascii="Calibri" w:hAnsi="Calibri" w:eastAsia="PingFang SC"/>
        </w:rPr>
        <w:t>：至少一部分失败属于“可读取到正确用户属性，但最终交付物没有使用”，而非单纯的信息检索失败。</w:t>
      </w:r>
    </w:p>
    <w:p>
      <w:pPr>
        <w:pStyle w:val="ListBullet"/>
      </w:pPr>
      <w:r>
        <w:rPr>
          <w:rFonts w:ascii="Calibri" w:hAnsi="Calibri" w:eastAsia="PingFang SC"/>
          <w:b/>
        </w:rPr>
        <w:t>H4（恢复可行）</w:t>
      </w:r>
      <w:r>
        <w:rPr>
          <w:rFonts w:ascii="Calibri" w:hAnsi="Calibri" w:eastAsia="PingFang SC"/>
        </w:rPr>
        <w:t>：在不增加用户新信息的情况下，重新锚定或检索式干预能显著提高个性化分数；若只有把 persona 重新全文贴入才有效，则说明当前 agent 缺乏稳定用户表征。</w:t>
      </w:r>
    </w:p>
    <w:p>
      <w:pPr>
        <w:pStyle w:val="ListBullet"/>
      </w:pPr>
      <w:r>
        <w:rPr>
          <w:rFonts w:ascii="Calibri" w:hAnsi="Calibri" w:eastAsia="PingFang SC"/>
          <w:b/>
        </w:rPr>
        <w:t>H5（渠道非等价）</w:t>
      </w:r>
      <w:r>
        <w:rPr>
          <w:rFonts w:ascii="Calibri" w:hAnsi="Calibri" w:eastAsia="PingFang SC"/>
        </w:rPr>
        <w:t>：不同用户信息渠道即使包含相同语义事实，也会产生不同利用率、误用率与隐私风险。</w:t>
      </w:r>
    </w:p>
    <w:p>
      <w:r>
        <w:rPr>
          <w:rFonts w:ascii="Calibri" w:hAnsi="Calibri" w:eastAsia="PingFang SC"/>
        </w:rPr>
        <w:t>否证条件包括：用户间的目标差异无法获得稳定的人类一致性；反事实交换不降低适配分；所谓“漂移”完全可由整体质量下降解释；或 judge 无法在预设门槛上重现目标用户判断。出现这些结果时，应缩小构念，而不能用更复杂的综合分掩盖失败。</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总体框架：从受控用户信号到反事实评估</w:t>
      </w:r>
    </w:p>
    <w:p>
      <w:pPr>
        <w:spacing w:after="100"/>
        <w:jc w:val="center"/>
      </w:pPr>
      <w:r>
        <w:drawing>
          <wp:inline xmlns:a="http://schemas.openxmlformats.org/drawingml/2006/main" xmlns:pic="http://schemas.openxmlformats.org/drawingml/2006/picture">
            <wp:extent cx="8732520" cy="4912042"/>
            <wp:docPr id="1" name="Picture 1" descr="DeepAlign-Bench 研究流程：从五平面元数据、反事实任务族和跨 agent 运行，到 rubric compiler、分层 judge 与人评校准。" title="DeepAlign-Bench 研究设计"/>
            <wp:cNvGraphicFramePr>
              <a:graphicFrameLocks noChangeAspect="1"/>
            </wp:cNvGraphicFramePr>
            <a:graphic>
              <a:graphicData uri="http://schemas.openxmlformats.org/drawingml/2006/picture">
                <pic:pic>
                  <pic:nvPicPr>
                    <pic:cNvPr id="0" name="DeepAlign-Bench_主图.png"/>
                    <pic:cNvPicPr/>
                  </pic:nvPicPr>
                  <pic:blipFill>
                    <a:blip r:embed="rId30"/>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DeepAlign-Bench 主流程。主榜先过共同质量门槛，再检查跨用户对角优势与跨 cue 稳健性；JudgeBench 独立验证自动评委。</w:t>
      </w:r>
    </w:p>
    <w:p>
      <w:pPr>
        <w:sectPr>
          <w:headerReference w:type="default" r:id="rId28"/>
          <w:footerReference w:type="default" r:id="rId29"/>
          <w:pgSz w:w="15840" w:h="12240" w:orient="landscape"/>
          <w:pgMar w:top="936" w:right="936" w:bottom="936" w:left="936" w:header="708" w:footer="708" w:gutter="0"/>
          <w:cols w:space="720"/>
          <w:docGrid w:linePitch="360"/>
        </w:sectPr>
      </w:pP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将评测流程拆为配置系统、任务切分器、执行/调度器、任务单元和结果汇总器，并把流程标准化为配置、推理、评估和可视化四阶段。它支持规则评估、LLM-as-a-Judge 以及级联评估：规则先处理可确定样本，复杂边界样本再交给模型评委。其关键价值是模型—数据笛卡尔积的任务化、可重试并行执行、统一后处理与结果聚合，而不是提出新的个性化构念。</w:t>
      </w:r>
      <w:hyperlink r:id="rId33">
        <w:r>
          <w:rPr>
            <w:rFonts w:ascii="Calibri" w:hAnsi="Calibri" w:eastAsia="PingFang SC"/>
            <w:color w:val="2E74B5"/>
            <w:u w:val="single"/>
          </w:rPr>
          <w:t>[1]</w:t>
        </w:r>
      </w:hyperlink>
    </w:p>
    <w:p>
      <w:r>
        <w:rPr>
          <w:rFonts w:ascii="Calibri" w:hAnsi="Calibri" w:eastAsia="PingFang SC"/>
        </w:rPr>
        <w:t xml:space="preserve">对本项目的直接启示是：把 </w:t>
      </w:r>
      <w:r>
        <w:rPr>
          <w:rFonts w:ascii="Courier New" w:hAnsi="Courier New" w:eastAsia="PingFang SC"/>
          <w:color w:val="6A3E00"/>
          <w:sz w:val="20"/>
        </w:rPr>
        <w:t>user_source × task_family × perturbation × agent × seed</w:t>
      </w:r>
      <w:r>
        <w:rPr>
          <w:rFonts w:ascii="Calibri" w:hAnsi="Calibri" w:eastAsia="PingFang SC"/>
        </w:rPr>
        <w:t xml:space="preserve"> 声明为配置维度；推理与评分完全分离；每次运行保存模型版本、搜索后端、时间戳、工具轨迹、交付物哈希和 judge 版本。OpenCompass 目前仍以静态 benchmark 和单轮文本为主，论文也把多轮、多模态列为未来方向，因此我们需要自定义 episode runner、artifact collector 与 trajectory checkpoint，而不能把本项目简化为普通 QA dataset。</w:t>
      </w:r>
    </w:p>
    <w:p>
      <w:pPr>
        <w:pStyle w:val="Heading2"/>
      </w:pPr>
      <w:r>
        <w:t>2.2 EvalScope：适合作为入口与报告层，但核心评分需自建</w:t>
      </w:r>
    </w:p>
    <w:p>
      <w:r>
        <w:rPr>
          <w:rFonts w:ascii="Calibri" w:hAnsi="Calibri" w:eastAsia="PingFang SC"/>
        </w:rPr>
        <w:t>EvalScope 通过 Model Adapter、Data Adapter、Native/OpenCompass/VLMEvalKit/ThirdParty backend、Performance Evaluator、报告与可视化统一多模型评测，并提供 single、pairwise-baseline、全量 pairwise arena 等模式。</w:t>
      </w:r>
      <w:hyperlink r:id="rId34">
        <w:r>
          <w:rPr>
            <w:rFonts w:ascii="Calibri" w:hAnsi="Calibri" w:eastAsia="PingFang SC"/>
            <w:color w:val="2E74B5"/>
            <w:u w:val="single"/>
          </w:rPr>
          <w:t>[2]</w:t>
        </w:r>
      </w:hyperlink>
      <w:r>
        <w:rPr>
          <w:rFonts w:ascii="Calibri" w:hAnsi="Calibri" w:eastAsia="PingFang SC"/>
        </w:rPr>
        <w:t xml:space="preserve"> 它提示我们将 benchmark 设计为可插拔的三层：统一 agent adapter、统一 case schema、可组合 evaluator。其 arena 模式尤其适合目标用户盲评；性能评估模块则可统一记录时延、token、搜索与工具调用成本。</w:t>
      </w:r>
    </w:p>
    <w:p>
      <w:r>
        <w:rPr>
          <w:rFonts w:ascii="Calibri" w:hAnsi="Calibri" w:eastAsia="PingFang SC"/>
        </w:rPr>
        <w:t>但 EvalScope 的“expert model 自动评估”只是执行能力，不构成 judge 有效性的证据。DeepAlign-Bench 必须另建 JudgeBench，先证明评委能识别真正的用户特异性，而不是长度、语气或显式复述 persona。</w:t>
      </w:r>
    </w:p>
    <w:p>
      <w:pPr>
        <w:pStyle w:val="Heading2"/>
      </w:pPr>
      <w:r>
        <w:t>2.3 Agent-SafetyBench：最值得仿照的是“结果类别 × 失败机制”</w:t>
      </w:r>
    </w:p>
    <w:p>
      <w:r>
        <w:rPr>
          <w:rFonts w:ascii="Calibri" w:hAnsi="Calibri" w:eastAsia="PingFang SC"/>
        </w:rPr>
        <w:t>Agent-SafetyBench 构造 349 个交互环境和 2,000 个案例，覆盖 8 类风险与 10 种失败模式；每个案例记录风险类别、对话/指令、环境和预期失败模式，并通过人工预检、自动环境验证、模型运行后的人工后检形成质量闭环。它发现直接使用 GPT-4o 对行为安全评分只有 75.5% 准确率，因此用 4,000 条人工标签训练本地 scorer，在独立的 200 条交互上达到 91.5%。</w:t>
      </w:r>
      <w:hyperlink r:id="rId35">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与 Agent-SafetyBench 不同，个性化不是二元安全标签。它具有条件性、连续性与多解性，因此需要反事实报告对、带正负项的层级 rubric，以及用户效用与通用质量的双重约束。</w:t>
      </w:r>
    </w:p>
    <w:p>
      <w:pPr>
        <w:pStyle w:val="Heading2"/>
      </w:pPr>
      <w:r>
        <w:t>2.4 PDR-Bench（arXiv:2509.25106）：最直接的前作，也是必须超越的基线</w:t>
      </w:r>
    </w:p>
    <w:p>
      <w:r>
        <w:rPr>
          <w:rFonts w:ascii="Calibri" w:hAnsi="Calibri" w:eastAsia="PingFang SC"/>
        </w:rPr>
        <w:t>PDR-Bench 设计 50 个任务、10 个领域、25 个真实志愿者 persona，每个任务匹配 5 个用户，形成 250 个用户—任务对。用户信息包括结构化 persona 和由专业标注员模拟的长期记忆/对话上下文。其 PQR 框架分别衡量 Personalization、Quality 和 Reliability：个性化含 Goal Alignment、Content Alignment、Presentation Fit、Actionability；LLM 先依据 task 与 persona 分配维度权重并生成子标准，另一 LLM 再逐项评分；可靠性由事实准确率与引用覆盖率组成。</w:t>
      </w:r>
      <w:hyperlink r:id="rId25">
        <w:r>
          <w:rPr>
            <w:rFonts w:ascii="Calibri" w:hAnsi="Calibri" w:eastAsia="PingFang SC"/>
            <w:color w:val="2E74B5"/>
            <w:u w:val="single"/>
          </w:rPr>
          <w:t>[4]</w:t>
        </w:r>
      </w:hyperlink>
    </w:p>
    <w:p>
      <w:r>
        <w:rPr>
          <w:rFonts w:ascii="Calibri" w:hAnsi="Calibri" w:eastAsia="PingFang SC"/>
        </w:rPr>
        <w:t>论文的贡献应被正面承认：它首先把真实用户画像和深度调研结合；persona 不只是输入文本，还直接条件化 P-Score 的权重与子标准；包含 task-only、context 和 persona 条件；对若干 memory system 做实验；并用同一 user-query 下两种 agent 报告的 pairwise 人评比较 judge。因此 DeepAlign-Bench 不能把它描述成“通用 rubric”“简单 ROUGE”或“完全没有 pairwise”。仍可检验的差异如下：</w:t>
      </w:r>
    </w:p>
    <w:p>
      <w:pPr>
        <w:numPr>
          <w:ilvl w:val="0"/>
          <w:numId w:val="11"/>
        </w:numPr>
        <w:spacing w:after="80" w:line="290" w:lineRule="auto"/>
        <w:ind w:left="540" w:hanging="279"/>
      </w:pPr>
      <w:r>
        <w:rPr>
          <w:rFonts w:ascii="Calibri" w:hAnsi="Calibri" w:eastAsia="PingFang SC"/>
          <w:b/>
        </w:rPr>
        <w:t>评分对象仍是单用户条件下的绝对适配。</w:t>
      </w:r>
      <w:r>
        <w:rPr>
          <w:rFonts w:ascii="Calibri" w:hAnsi="Calibri" w:eastAsia="PingFang SC"/>
        </w:rPr>
        <w:t xml:space="preserve"> 其主榜计算每份报告在对应 user-task rubric 下的 P-Score，信息可用性实验比较 task-only、context 与 persona 条件平均分。人类一致性实验虽是 pairwise，但比较的是同一 query 下 MiroFlow 与 O3 的报告，不是 A/B 用户的 matched/swapped 交叉评分。因而它能说明“在该用户条件下这份报告是否合适”，尚不能直接检验“同一任务换成另一位同样合理的用户后，哪份报告应随之改变、且更适合谁”。</w:t>
      </w:r>
    </w:p>
    <w:p>
      <w:pPr>
        <w:numPr>
          <w:ilvl w:val="0"/>
          <w:numId w:val="11"/>
        </w:numPr>
        <w:spacing w:after="80" w:line="290" w:lineRule="auto"/>
        <w:ind w:left="540" w:hanging="279"/>
      </w:pPr>
      <w:r>
        <w:rPr>
          <w:rFonts w:ascii="Calibri" w:hAnsi="Calibri" w:eastAsia="PingFang SC"/>
          <w:b/>
        </w:rPr>
        <w:t>缺少预冻结的差异与不变项真值。</w:t>
      </w:r>
      <w:r>
        <w:rPr>
          <w:rFonts w:ascii="Calibri" w:hAnsi="Calibri" w:eastAsia="PingFang SC"/>
        </w:rPr>
        <w:t xml:space="preserve"> task/persona-conditioned rubric 已能表达“这个用户需要什么”，但由 LLM 动态生成标准本身不保证两个用户间哪些内容必须变化、哪些事实与共同质量必须保持、哪些属性不得使用。若 persona 含无关或刻板线索，rubric 仍可能把它合理化为评分目标。</w:t>
      </w:r>
    </w:p>
    <w:p>
      <w:pPr>
        <w:numPr>
          <w:ilvl w:val="0"/>
          <w:numId w:val="11"/>
        </w:numPr>
        <w:spacing w:after="80" w:line="290" w:lineRule="auto"/>
        <w:ind w:left="540" w:hanging="279"/>
      </w:pPr>
      <w:r>
        <w:rPr>
          <w:rFonts w:ascii="Calibri" w:hAnsi="Calibri" w:eastAsia="PingFang SC"/>
          <w:b/>
        </w:rPr>
        <w:t>人类校准偏弱。</w:t>
      </w:r>
      <w:r>
        <w:rPr>
          <w:rFonts w:ascii="Calibri" w:hAnsi="Calibri" w:eastAsia="PingFang SC"/>
        </w:rPr>
        <w:t xml:space="preserve"> judge 校准仅抽 15 个 query、两种 agent；最佳 GPT-5 的 pairwise agreement 仅 0.43，仍被选为主 judge。这不足以支撑精细榜单差异。</w:t>
      </w:r>
    </w:p>
    <w:p>
      <w:pPr>
        <w:numPr>
          <w:ilvl w:val="0"/>
          <w:numId w:val="11"/>
        </w:numPr>
        <w:spacing w:after="80" w:line="290" w:lineRule="auto"/>
        <w:ind w:left="540" w:hanging="279"/>
      </w:pPr>
      <w:r>
        <w:rPr>
          <w:rFonts w:ascii="Calibri" w:hAnsi="Calibri" w:eastAsia="PingFang SC"/>
          <w:b/>
        </w:rPr>
        <w:t>用户上下文并非自然产生。</w:t>
      </w:r>
      <w:r>
        <w:rPr>
          <w:rFonts w:ascii="Calibri" w:hAnsi="Calibri" w:eastAsia="PingFang SC"/>
        </w:rPr>
        <w:t xml:space="preserve"> 25 个 persona 虽来自志愿者，但动态内容由 6 名标注员模拟，且以“可逆推出 persona”为核心质量标准；这可能人为放大可识别性，低估真实历史中的噪声、冲突、过期信息与不可推断性。</w:t>
      </w:r>
    </w:p>
    <w:p>
      <w:pPr>
        <w:numPr>
          <w:ilvl w:val="0"/>
          <w:numId w:val="11"/>
        </w:numPr>
        <w:spacing w:after="80" w:line="290" w:lineRule="auto"/>
        <w:ind w:left="540" w:hanging="279"/>
      </w:pPr>
      <w:r>
        <w:rPr>
          <w:rFonts w:ascii="Calibri" w:hAnsi="Calibri" w:eastAsia="PingFang SC"/>
          <w:b/>
        </w:rPr>
        <w:t>任务与交付物覆盖有限。</w:t>
      </w:r>
      <w:r>
        <w:rPr>
          <w:rFonts w:ascii="Calibri" w:hAnsi="Calibri" w:eastAsia="PingFang SC"/>
        </w:rPr>
        <w:t xml:space="preserve"> 主要是中文/英文长报告，主实验只跑 150/250 个 query；无法说明对代码、表格、幻灯、网页、决策备忘录或私有企业材料的外推性。</w:t>
      </w:r>
    </w:p>
    <w:p>
      <w:pPr>
        <w:numPr>
          <w:ilvl w:val="0"/>
          <w:numId w:val="11"/>
        </w:numPr>
        <w:spacing w:after="80" w:line="290" w:lineRule="auto"/>
        <w:ind w:left="540" w:hanging="279"/>
      </w:pPr>
      <w:r>
        <w:rPr>
          <w:rFonts w:ascii="Calibri" w:hAnsi="Calibri" w:eastAsia="PingFang SC"/>
          <w:b/>
        </w:rPr>
        <w:t>简单平均可补偿。</w:t>
      </w:r>
      <w:r>
        <w:rPr>
          <w:rFonts w:ascii="Calibri" w:hAnsi="Calibri" w:eastAsia="PingFang SC"/>
        </w:rPr>
        <w:t xml:space="preserve"> P/Q/R 算术平均允许高文风分补偿事实性或关键用户约束失败；对高风险任务尤其不合理。</w:t>
      </w:r>
    </w:p>
    <w:p>
      <w:pPr>
        <w:numPr>
          <w:ilvl w:val="0"/>
          <w:numId w:val="11"/>
        </w:numPr>
        <w:spacing w:after="80" w:line="290" w:lineRule="auto"/>
        <w:ind w:left="540" w:hanging="279"/>
      </w:pPr>
      <w:r>
        <w:rPr>
          <w:rFonts w:ascii="Calibri" w:hAnsi="Calibri" w:eastAsia="PingFang SC"/>
          <w:b/>
        </w:rPr>
        <w:t>缺少轨迹诊断。</w:t>
      </w:r>
      <w:r>
        <w:rPr>
          <w:rFonts w:ascii="Calibri" w:hAnsi="Calibri" w:eastAsia="PingFang SC"/>
        </w:rPr>
        <w:t xml:space="preserve"> 只看输入与最终输出，无法区分“没形成、忘记了、知道但没用、发生冲突、恢复失败”。</w:t>
      </w:r>
    </w:p>
    <w:p>
      <w:r>
        <w:rPr>
          <w:rFonts w:ascii="Calibri" w:hAnsi="Calibri" w:eastAsia="PingFang SC"/>
        </w:rPr>
        <w:t>DeepAlign-Bench 的核心增量因此不是“换一个更懂用户的 rubric”，而是在 PDR-Bench 的</w:t>
      </w:r>
      <w:r>
        <w:rPr>
          <w:rFonts w:ascii="Calibri" w:hAnsi="Calibri" w:eastAsia="PingFang SC"/>
          <w:b/>
        </w:rPr>
        <w:t>绝对适配</w:t>
      </w:r>
      <w:r>
        <w:rPr>
          <w:rFonts w:ascii="Calibri" w:hAnsi="Calibri" w:eastAsia="PingFang SC"/>
        </w:rPr>
        <w:t>之上增加一层</w:t>
      </w:r>
      <w:r>
        <w:rPr>
          <w:rFonts w:ascii="Calibri" w:hAnsi="Calibri" w:eastAsia="PingFang SC"/>
          <w:b/>
        </w:rPr>
        <w:t>反事实特异性</w:t>
      </w:r>
      <w:r>
        <w:rPr>
          <w:rFonts w:ascii="Calibri" w:hAnsi="Calibri" w:eastAsia="PingFang SC"/>
        </w:rPr>
        <w:t xml:space="preserve">测量。令 </w:t>
      </w:r>
      <w:r>
        <w:rPr>
          <w:rFonts w:ascii="Courier New" w:hAnsi="Courier New" w:eastAsia="PingFang SC"/>
          <w:color w:val="6A3E00"/>
          <w:sz w:val="20"/>
        </w:rPr>
        <w:t>M[i,j] = PF_i(Y_j)</w:t>
      </w:r>
      <w:r>
        <w:rPr>
          <w:rFonts w:ascii="Calibri" w:hAnsi="Calibri" w:eastAsia="PingFang SC"/>
        </w:rPr>
        <w:t xml:space="preserve">：同一 task/evidence 下，由用户 </w:t>
      </w:r>
      <w:r>
        <w:rPr>
          <w:rFonts w:ascii="Courier New" w:hAnsi="Courier New" w:eastAsia="PingFang SC"/>
          <w:color w:val="6A3E00"/>
          <w:sz w:val="20"/>
        </w:rPr>
        <w:t>U_a</w:t>
      </w:r>
      <w:r>
        <w:rPr>
          <w:rFonts w:ascii="Calibri" w:hAnsi="Calibri" w:eastAsia="PingFang SC"/>
        </w:rPr>
        <w:t xml:space="preserve"> 与 </w:t>
      </w:r>
      <w:r>
        <w:rPr>
          <w:rFonts w:ascii="Courier New" w:hAnsi="Courier New" w:eastAsia="PingFang SC"/>
          <w:color w:val="6A3E00"/>
          <w:sz w:val="20"/>
        </w:rPr>
        <w:t>U_b</w:t>
      </w:r>
      <w:r>
        <w:rPr>
          <w:rFonts w:ascii="Calibri" w:hAnsi="Calibri" w:eastAsia="PingFang SC"/>
        </w:rPr>
        <w:t xml:space="preserve"> 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 xml:space="preserve">，再让两套用户条件化 rubric 都评价两份交付物；只有对角项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，且 must-hold、事实性与共同质量不过度下降，才支持“结果价值随目标用户而变”的结论。这里的 matched/swapped 识别的是</w:t>
      </w:r>
      <w:r>
        <w:rPr>
          <w:rFonts w:ascii="Calibri" w:hAnsi="Calibri" w:eastAsia="PingFang SC"/>
          <w:b/>
        </w:rPr>
        <w:t>可观察结果的用户条件效应</w:t>
      </w:r>
      <w:r>
        <w:rPr>
          <w:rFonts w:ascii="Calibri" w:hAnsi="Calibri" w:eastAsia="PingFang SC"/>
        </w:rPr>
        <w:t>，不能证明模型内部形成了真正的用户理解；一个稳定的“关键词→模板”策略仍可能过关。</w:t>
      </w:r>
    </w:p>
    <w:p>
      <w:r>
        <w:rPr>
          <w:rFonts w:ascii="Calibri" w:hAnsi="Calibri" w:eastAsia="PingFang SC"/>
        </w:rPr>
        <w:t xml:space="preserve">因此还要加入独立的 </w:t>
      </w:r>
      <w:r>
        <w:rPr>
          <w:rFonts w:ascii="Calibri" w:hAnsi="Calibri" w:eastAsia="PingFang SC"/>
          <w:b/>
        </w:rPr>
        <w:t>cue-equivalence / representation-robustness</w:t>
      </w:r>
      <w:r>
        <w:rPr>
          <w:rFonts w:ascii="Calibri" w:hAnsi="Calibri" w:eastAsia="PingFang SC"/>
        </w:rPr>
        <w:t xml:space="preserve"> 检验。对同一潜在 user-state，分别用结构化 persona、语义等价自然历史、澄清对话和去除显眼关键词的改写表达，要求 must-change 决策与 CFA 基本保持；只改变任务无关人口属性或表面措辞时，must-hold 应保持。ACL 2026 的 </w:t>
      </w:r>
      <w:r>
        <w:rPr>
          <w:rFonts w:ascii="Calibri" w:hAnsi="Calibri" w:eastAsia="PingFang SC"/>
          <w:i/>
        </w:rPr>
        <w:t>One Persona, Many Cues</w:t>
      </w:r>
      <w:r>
        <w:rPr>
          <w:rFonts w:ascii="Calibri" w:hAnsi="Calibri" w:eastAsia="PingFang SC"/>
        </w:rPr>
        <w:t xml:space="preserve"> 已显示，同一 persona 的不同提示线索会显著改变结论，说明单一显式 persona 形式缺乏外部效度；</w:t>
      </w:r>
      <w:hyperlink r:id="rId36">
        <w:r>
          <w:rPr>
            <w:rFonts w:ascii="Calibri" w:hAnsi="Calibri" w:eastAsia="PingFang SC"/>
            <w:color w:val="2E74B5"/>
            <w:u w:val="single"/>
          </w:rPr>
          <w:t>[53]</w:t>
        </w:r>
      </w:hyperlink>
      <w:r>
        <w:rPr>
          <w:rFonts w:ascii="Calibri" w:hAnsi="Calibri" w:eastAsia="PingFang SC"/>
        </w:rPr>
        <w:t xml:space="preserve"> PARL 也把 representativeness、user-consistency 与 discriminativeness 列为个性化评价的三个必要原则，进一步支持把区分力和跨表达一致性分开校准。</w:t>
      </w:r>
      <w:hyperlink r:id="rId37">
        <w:r>
          <w:rPr>
            <w:rFonts w:ascii="Calibri" w:hAnsi="Calibri" w:eastAsia="PingFang SC"/>
            <w:color w:val="2E74B5"/>
            <w:u w:val="single"/>
          </w:rPr>
          <w:t>[54]</w:t>
        </w:r>
      </w:hyperlink>
      <w:r>
        <w:rPr>
          <w:rFonts w:ascii="Calibri" w:hAnsi="Calibri" w:eastAsia="PingFang SC"/>
        </w:rPr>
        <w:t xml:space="preserve"> 篇幅、位置、格式与关键词诱饵仍应保留在 JudgeBench 中，但它们是自动评委的稳健性风险和辅助混淆控制，不再作为相对 PDR-Bench 的主要研究缺口。</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和时延、侵扰、错误恢复等过程指标评分。公开技术文章还给出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8">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9">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40">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41">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42">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3">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4">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5">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6">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9">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50">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51">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52">
        <w:r>
          <w:rPr>
            <w:rFonts w:ascii="Calibri" w:hAnsi="Calibri" w:eastAsia="PingFang SC"/>
            <w:color w:val="2E74B5"/>
            <w:u w:val="single"/>
          </w:rPr>
          <w:t>[19]</w:t>
        </w:r>
      </w:hyperlink>
      <w:hyperlink r:id="rId53">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4">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5">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6">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是长程更新与恢复设计最直接的方法学前作；不能声称首先提出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7">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58">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9">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60">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61">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这些工作共同形成一条能力链：</w:t>
      </w:r>
      <w:r>
        <w:rPr>
          <w:rFonts w:ascii="Calibri" w:hAnsi="Calibri" w:eastAsia="PingFang SC"/>
          <w:b/>
        </w:rPr>
        <w:t>理解用户 → 从历史推断并行动 → 跨会话保持/更新 → 交付用户特异结果</w:t>
      </w:r>
      <w:r>
        <w:rPr>
          <w:rFonts w:ascii="Calibri" w:hAnsi="Calibri" w:eastAsia="PingFang SC"/>
        </w:rPr>
        <w:t>。</w:t>
      </w:r>
      <w:hyperlink r:id="rId55">
        <w:r>
          <w:rPr>
            <w:rFonts w:ascii="Calibri" w:hAnsi="Calibri" w:eastAsia="PingFang SC"/>
            <w:color w:val="2E74B5"/>
            <w:u w:val="single"/>
          </w:rPr>
          <w:t>[26]</w:t>
        </w:r>
      </w:hyperlink>
      <w:hyperlink r:id="rId56">
        <w:r>
          <w:rPr>
            <w:rFonts w:ascii="Calibri" w:hAnsi="Calibri" w:eastAsia="PingFang SC"/>
            <w:color w:val="2E74B5"/>
            <w:u w:val="single"/>
          </w:rPr>
          <w:t>[27]</w:t>
        </w:r>
      </w:hyperlink>
      <w:hyperlink r:id="rId57">
        <w:r>
          <w:rPr>
            <w:rFonts w:ascii="Calibri" w:hAnsi="Calibri" w:eastAsia="PingFang SC"/>
            <w:color w:val="2E74B5"/>
            <w:u w:val="single"/>
          </w:rPr>
          <w:t>[28]</w:t>
        </w:r>
      </w:hyperlink>
      <w:hyperlink r:id="rId58">
        <w:r>
          <w:rPr>
            <w:rFonts w:ascii="Calibri" w:hAnsi="Calibri" w:eastAsia="PingFang SC"/>
            <w:color w:val="2E74B5"/>
            <w:u w:val="single"/>
          </w:rPr>
          <w:t>[29]</w:t>
        </w:r>
      </w:hyperlink>
      <w:hyperlink r:id="rId59">
        <w:r>
          <w:rPr>
            <w:rFonts w:ascii="Calibri" w:hAnsi="Calibri" w:eastAsia="PingFang SC"/>
            <w:color w:val="2E74B5"/>
            <w:u w:val="single"/>
          </w:rPr>
          <w:t>[30]</w:t>
        </w:r>
      </w:hyperlink>
      <w:hyperlink r:id="rId60">
        <w:r>
          <w:rPr>
            <w:rFonts w:ascii="Calibri" w:hAnsi="Calibri" w:eastAsia="PingFang SC"/>
            <w:color w:val="2E74B5"/>
            <w:u w:val="single"/>
          </w:rPr>
          <w:t>[31]</w:t>
        </w:r>
      </w:hyperlink>
      <w:hyperlink r:id="rId61">
        <w:r>
          <w:rPr>
            <w:rFonts w:ascii="Calibri" w:hAnsi="Calibri" w:eastAsia="PingFang SC"/>
            <w:color w:val="2E74B5"/>
            <w:u w:val="single"/>
          </w:rPr>
          <w:t>[32]</w:t>
        </w:r>
      </w:hyperlink>
      <w:r>
        <w:rPr>
          <w:rFonts w:ascii="Calibri" w:hAnsi="Calibri" w:eastAsia="PingFang SC"/>
        </w:rPr>
        <w:t xml:space="preserve"> 现有论文大多只验证其中一段。PDR-Bench 已进入最后一段，并能用 task/persona-conditioned rubric 测绝对适配；尚未建立的是固定任务与证据后的跨用户交叉评分、差异真值和不变项约束。</w:t>
      </w:r>
      <w:hyperlink r:id="rId25">
        <w:r>
          <w:rPr>
            <w:rFonts w:ascii="Calibri" w:hAnsi="Calibri" w:eastAsia="PingFang SC"/>
            <w:color w:val="2E74B5"/>
            <w:u w:val="single"/>
          </w:rPr>
          <w:t>[4]</w:t>
        </w:r>
      </w:hyperlink>
      <w:r>
        <w:rPr>
          <w:rFonts w:ascii="Calibri" w:hAnsi="Calibri" w:eastAsia="PingFang SC"/>
        </w:rPr>
        <w:t xml:space="preserve"> 因此 DeepAlign-Bench 不应声称首先研究 personalization、history、persistent state 或 temporal intervention；可辩护的主张是：</w:t>
      </w:r>
    </w:p>
    <w:p>
      <w:r>
        <w:rPr>
          <w:rFonts w:ascii="Calibri" w:hAnsi="Calibri" w:eastAsia="PingFang SC"/>
        </w:rPr>
        <w:t>&gt; 在广义 Deep Research 的多类最终交付物上，将异构用户信号、反事实用户交换、预冻结 must-change/must-hold/must-not 真值、长程干预与独立 judge 校准放进同一可审计协议，从而区分通用质量、正向用户适配、过度个性化和状态漂移。</w:t>
      </w:r>
    </w:p>
    <w:p>
      <w:r>
        <w:rPr>
          <w:rFonts w:ascii="Calibri" w:hAnsi="Calibri" w:eastAsia="PingFang SC"/>
        </w:rPr>
        <w:t>这仍是待实证验证的“协议级交叉贡献”，不能仅凭 ontology 的维度数量成立。论文必须至少证明四件事：（1）matched/swapped 人评能稳定识别用户特异效用；（2）同一潜在 user-state 换一种语义等价表达时结论稳定，而只改任务无关线索时 must-hold 不变；（3）该效应不能由共同任务质量、事实性或评委偏差解释；（4）至少一种信号来源或长程扰动产生可重复、统计上可分辨的效应。若任一条件失败，主张应收缩为一个 outcome-centered evaluation study，而不是宣称识别了模型内部“理解用户”的机制。</w:t>
      </w:r>
    </w:p>
    <w:p>
      <w:pPr>
        <w:pStyle w:val="Heading2"/>
      </w:pPr>
      <w:r>
        <w:t>2.8 扩展检索：22 篇工作把 gap 进一步压缩到“反事实特异性 + 跨 cue 稳健性”</w:t>
      </w:r>
    </w:p>
    <w:p>
      <w:r>
        <w:rPr>
          <w:rFonts w:ascii="Calibri" w:hAnsi="Calibri" w:eastAsia="PingFang SC"/>
        </w:rPr>
        <w:t xml:space="preserve">本轮以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为检索入口，额外核对 22 篇论文的 title、abstract 与官方页面，其中 20 篇覆盖 agent 能力链，另两篇直接校准 persona cue 与个性化 rubric 的测量边界。纳入主叙事的门槛不是标题出现 persona 或 memory，而是至少满足两项：用户条件是可观察输入；该条件会改变 agent 的生成、规划或行动；论文提供可比较的个性化结果。筛选后形成四条相互衔接、但评价终点不同的证据链。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11">
              <w:r>
                <w:rPr>
                  <w:rFonts w:ascii="Calibri" w:hAnsi="Calibri" w:eastAsia="PingFang SC"/>
                  <w:color w:val="2E74B5"/>
                  <w:u w:val="single"/>
                  <w:sz w:val="18"/>
                  <w:szCs w:val="18"/>
                </w:rPr>
                <w:t>[33]</w:t>
              </w:r>
            </w:hyperlink>
            <w:hyperlink r:id="rId12">
              <w:r>
                <w:rPr>
                  <w:rFonts w:ascii="Calibri" w:hAnsi="Calibri" w:eastAsia="PingFang SC"/>
                  <w:color w:val="2E74B5"/>
                  <w:u w:val="single"/>
                  <w:sz w:val="18"/>
                  <w:szCs w:val="18"/>
                </w:rPr>
                <w:t>[35]</w:t>
              </w:r>
            </w:hyperlink>
            <w:hyperlink r:id="rId19">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13">
              <w:r>
                <w:rPr>
                  <w:rFonts w:ascii="Calibri" w:hAnsi="Calibri" w:eastAsia="PingFang SC"/>
                  <w:color w:val="2E74B5"/>
                  <w:u w:val="single"/>
                  <w:sz w:val="18"/>
                  <w:szCs w:val="18"/>
                </w:rPr>
                <w:t>[34]</w:t>
              </w:r>
            </w:hyperlink>
            <w:hyperlink r:id="rId14">
              <w:r>
                <w:rPr>
                  <w:rFonts w:ascii="Calibri" w:hAnsi="Calibri" w:eastAsia="PingFang SC"/>
                  <w:color w:val="2E74B5"/>
                  <w:u w:val="single"/>
                  <w:sz w:val="18"/>
                  <w:szCs w:val="18"/>
                </w:rPr>
                <w:t>[37]</w:t>
              </w:r>
            </w:hyperlink>
            <w:hyperlink r:id="rId15">
              <w:r>
                <w:rPr>
                  <w:rFonts w:ascii="Calibri" w:hAnsi="Calibri" w:eastAsia="PingFang SC"/>
                  <w:color w:val="2E74B5"/>
                  <w:u w:val="single"/>
                  <w:sz w:val="18"/>
                  <w:szCs w:val="18"/>
                </w:rPr>
                <w:t>[38]</w:t>
              </w:r>
            </w:hyperlink>
            <w:hyperlink r:id="rId17">
              <w:r>
                <w:rPr>
                  <w:rFonts w:ascii="Calibri" w:hAnsi="Calibri" w:eastAsia="PingFang SC"/>
                  <w:color w:val="2E74B5"/>
                  <w:u w:val="single"/>
                  <w:sz w:val="18"/>
                  <w:szCs w:val="18"/>
                </w:rPr>
                <w:t>[48]</w:t>
              </w:r>
            </w:hyperlink>
            <w:hyperlink r:id="rId16">
              <w:r>
                <w:rPr>
                  <w:rFonts w:ascii="Calibri" w:hAnsi="Calibri" w:eastAsia="PingFang SC"/>
                  <w:color w:val="2E74B5"/>
                  <w:u w:val="single"/>
                  <w:sz w:val="18"/>
                  <w:szCs w:val="18"/>
                </w:rPr>
                <w:t>[49]</w:t>
              </w:r>
            </w:hyperlink>
            <w:hyperlink r:id="rId18">
              <w:r>
                <w:rPr>
                  <w:rFonts w:ascii="Calibri" w:hAnsi="Calibri" w:eastAsia="PingFang SC"/>
                  <w:color w:val="2E74B5"/>
                  <w:u w:val="single"/>
                  <w:sz w:val="18"/>
                  <w:szCs w:val="18"/>
                </w:rPr>
                <w:t>[50]</w:t>
              </w:r>
            </w:hyperlink>
            <w:hyperlink r:id="rId62">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3">
              <w:r>
                <w:rPr>
                  <w:rFonts w:ascii="Calibri" w:hAnsi="Calibri" w:eastAsia="PingFang SC"/>
                  <w:color w:val="2E74B5"/>
                  <w:u w:val="single"/>
                  <w:sz w:val="18"/>
                  <w:szCs w:val="18"/>
                </w:rPr>
                <w:t>[39]</w:t>
              </w:r>
            </w:hyperlink>
            <w:hyperlink r:id="rId20">
              <w:r>
                <w:rPr>
                  <w:rFonts w:ascii="Calibri" w:hAnsi="Calibri" w:eastAsia="PingFang SC"/>
                  <w:color w:val="2E74B5"/>
                  <w:u w:val="single"/>
                  <w:sz w:val="18"/>
                  <w:szCs w:val="18"/>
                </w:rPr>
                <w:t>[43]</w:t>
              </w:r>
            </w:hyperlink>
            <w:hyperlink r:id="rId21">
              <w:r>
                <w:rPr>
                  <w:rFonts w:ascii="Calibri" w:hAnsi="Calibri" w:eastAsia="PingFang SC"/>
                  <w:color w:val="2E74B5"/>
                  <w:u w:val="single"/>
                  <w:sz w:val="18"/>
                  <w:szCs w:val="18"/>
                </w:rPr>
                <w:t>[44]</w:t>
              </w:r>
            </w:hyperlink>
            <w:hyperlink r:id="rId22">
              <w:r>
                <w:rPr>
                  <w:rFonts w:ascii="Calibri" w:hAnsi="Calibri" w:eastAsia="PingFang SC"/>
                  <w:color w:val="2E74B5"/>
                  <w:u w:val="single"/>
                  <w:sz w:val="18"/>
                  <w:szCs w:val="18"/>
                </w:rPr>
                <w:t>[45]</w:t>
              </w:r>
            </w:hyperlink>
            <w:hyperlink r:id="rId23">
              <w:r>
                <w:rPr>
                  <w:rFonts w:ascii="Calibri" w:hAnsi="Calibri" w:eastAsia="PingFang SC"/>
                  <w:color w:val="2E74B5"/>
                  <w:u w:val="single"/>
                  <w:sz w:val="18"/>
                  <w:szCs w:val="18"/>
                </w:rPr>
                <w:t>[46]</w:t>
              </w:r>
            </w:hyperlink>
            <w:hyperlink r:id="rId24">
              <w:r>
                <w:rPr>
                  <w:rFonts w:ascii="Calibri" w:hAnsi="Calibri" w:eastAsia="PingFang SC"/>
                  <w:color w:val="2E74B5"/>
                  <w:u w:val="single"/>
                  <w:sz w:val="18"/>
                  <w:szCs w:val="18"/>
                </w:rPr>
                <w:t>[47]</w:t>
              </w:r>
            </w:hyperlink>
            <w:hyperlink r:id="rId6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25">
              <w:r>
                <w:rPr>
                  <w:rFonts w:ascii="Calibri" w:hAnsi="Calibri" w:eastAsia="PingFang SC"/>
                  <w:color w:val="2E74B5"/>
                  <w:u w:val="single"/>
                  <w:sz w:val="18"/>
                  <w:szCs w:val="18"/>
                </w:rPr>
                <w:t>[4]</w:t>
              </w:r>
            </w:hyperlink>
            <w:hyperlink r:id="rId26">
              <w:r>
                <w:rPr>
                  <w:rFonts w:ascii="Calibri" w:hAnsi="Calibri" w:eastAsia="PingFang SC"/>
                  <w:color w:val="2E74B5"/>
                  <w:u w:val="single"/>
                  <w:sz w:val="18"/>
                  <w:szCs w:val="18"/>
                </w:rPr>
                <w:t>[40]</w:t>
              </w:r>
            </w:hyperlink>
            <w:hyperlink r:id="rId27">
              <w:r>
                <w:rPr>
                  <w:rFonts w:ascii="Calibri" w:hAnsi="Calibri" w:eastAsia="PingFang SC"/>
                  <w:color w:val="2E74B5"/>
                  <w:u w:val="single"/>
                  <w:sz w:val="18"/>
                  <w:szCs w:val="18"/>
                </w:rPr>
                <w:t>[41]</w:t>
              </w:r>
            </w:hyperlink>
            <w:hyperlink r:id="rId65">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因此，论文的叙事终点不是“我们比现有工作更全面”，而是一个更窄、可证伪的问题：</w:t>
      </w:r>
      <w:r>
        <w:rPr>
          <w:rFonts w:ascii="Calibri" w:hAnsi="Calibri" w:eastAsia="PingFang SC"/>
          <w:b/>
        </w:rPr>
        <w:t>在广义 Deep Research 中，如何在已有 task/persona-conditioned 绝对评分之上，进一步识别一份最终交付物是否对目标用户具有反事实特异性？</w:t>
      </w:r>
      <w:r>
        <w:rPr>
          <w:rFonts w:ascii="Calibri" w:hAnsi="Calibri" w:eastAsia="PingFang SC"/>
        </w:rPr>
        <w:t xml:space="preserve"> 22 篇扩展工作分别提供信号来源、行动终点、时间状态、安全失败、cue 稳健性和 rubric 区分力的设计证据；DeepAlign-Bench 只在跨用户对角优势、预冻结真值、跨线索表达稳健性与真人校准共同成立时，才构成方法贡献。</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2"/>
        </w:numPr>
        <w:spacing w:after="80" w:line="290" w:lineRule="auto"/>
        <w:ind w:left="540" w:hanging="279"/>
      </w:pPr>
      <w:r>
        <w:rPr>
          <w:rFonts w:ascii="Calibri" w:hAnsi="Calibri" w:eastAsia="PingFang SC"/>
        </w:rPr>
        <w:t>需要多步信息获取、验证、综合或实验；</w:t>
      </w:r>
    </w:p>
    <w:p>
      <w:pPr>
        <w:numPr>
          <w:ilvl w:val="0"/>
          <w:numId w:val="12"/>
        </w:numPr>
        <w:spacing w:after="80" w:line="290" w:lineRule="auto"/>
        <w:ind w:left="540" w:hanging="279"/>
      </w:pPr>
      <w:r>
        <w:rPr>
          <w:rFonts w:ascii="Calibri" w:hAnsi="Calibri" w:eastAsia="PingFang SC"/>
        </w:rPr>
        <w:t>存在不止一种合理过程路径；</w:t>
      </w:r>
    </w:p>
    <w:p>
      <w:pPr>
        <w:numPr>
          <w:ilvl w:val="0"/>
          <w:numId w:val="12"/>
        </w:numPr>
        <w:spacing w:after="80" w:line="290" w:lineRule="auto"/>
        <w:ind w:left="540" w:hanging="279"/>
      </w:pPr>
      <w:r>
        <w:rPr>
          <w:rFonts w:ascii="Calibri" w:hAnsi="Calibri" w:eastAsia="PingFang SC"/>
        </w:rPr>
        <w:t>最终产物供真实用户决策、行动、理解或后续生产使用；</w:t>
      </w:r>
    </w:p>
    <w:p>
      <w:pPr>
        <w:numPr>
          <w:ilvl w:val="0"/>
          <w:numId w:val="12"/>
        </w:numPr>
        <w:spacing w:after="80" w:line="290" w:lineRule="auto"/>
        <w:ind w:left="540" w:hanging="279"/>
      </w:pPr>
      <w:r>
        <w:rPr>
          <w:rFonts w:ascii="Calibri" w:hAnsi="Calibri" w:eastAsia="PingFang SC"/>
        </w:rPr>
        <w:t>用户特征会改变至少一项合格交付标准；</w:t>
      </w:r>
    </w:p>
    <w:p>
      <w:pPr>
        <w:numPr>
          <w:ilvl w:val="0"/>
          <w:numId w:val="12"/>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理解为“任务列表 + persona 列”。一个 case 是下列五个平面的组合坐标；这套坐标系称为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上再施加四类</w:t>
      </w:r>
      <w:r>
        <w:rPr>
          <w:rFonts w:ascii="Calibri" w:hAnsi="Calibri" w:eastAsia="PingFang SC"/>
          <w:b/>
        </w:rPr>
        <w:t>行为测试算子</w:t>
      </w:r>
      <w:r>
        <w:rPr>
          <w:rFonts w:ascii="Calibri" w:hAnsi="Calibri" w:eastAsia="PingFang SC"/>
        </w:rPr>
        <w:t>，借鉴 CheckList 的“能力 × 测试类型”思想，而不是为每种表面组合另造一个 benchmark 类别：</w:t>
      </w:r>
      <w:hyperlink r:id="rId66">
        <w:r>
          <w:rPr>
            <w:rFonts w:ascii="Calibri" w:hAnsi="Calibri" w:eastAsia="PingFang SC"/>
            <w:color w:val="2E74B5"/>
            <w:u w:val="single"/>
          </w:rPr>
          <w:t>[23]</w:t>
        </w:r>
      </w:hyperlink>
    </w:p>
    <w:p>
      <w:pPr>
        <w:numPr>
          <w:ilvl w:val="0"/>
          <w:numId w:val="13"/>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3"/>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3"/>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3"/>
        </w:numPr>
        <w:spacing w:after="80" w:line="290" w:lineRule="auto"/>
        <w:ind w:left="540" w:hanging="279"/>
      </w:pPr>
      <w:r>
        <w:rPr>
          <w:rFonts w:ascii="Calibri" w:hAnsi="Calibri" w:eastAsia="PingFang SC"/>
          <w:b/>
        </w:rPr>
        <w:t>Update / Recover</w:t>
      </w:r>
      <w:r>
        <w:rPr>
          <w:rFonts w:ascii="Calibri" w:hAnsi="Calibri" w:eastAsia="PingFang SC"/>
        </w:rPr>
        <w:t>：用户纠正、状态变化或 verifier 告警后，是否正确更新并避免附带损害。</w:t>
      </w:r>
    </w:p>
    <w:p>
      <w:r>
        <w:rPr>
          <w:rFonts w:ascii="Calibri" w:hAnsi="Calibri" w:eastAsia="PingFang SC"/>
        </w:rPr>
        <w:t xml:space="preserve">因此，一个可运行测试不再用模糊名称描述，而由 </w:t>
      </w:r>
      <w:r>
        <w:rPr>
          <w:rFonts w:ascii="Courier New" w:hAnsi="Courier New" w:eastAsia="PingFang SC"/>
          <w:color w:val="6A3E00"/>
          <w:sz w:val="20"/>
        </w:rPr>
        <w:t>Atlas coordinate + behavioral operator + expected contract</w:t>
      </w:r>
      <w:r>
        <w:rPr>
          <w:rFonts w:ascii="Calibri" w:hAnsi="Calibri" w:eastAsia="PingFang SC"/>
        </w:rPr>
        <w:t xml:space="preserve"> 唯一化。例如：“Professional / Compare-Decide / live web / natural history / retrieval-memory agent / stale-conflict / Update”与“Everyday / Plan / frozen corpus / structured persona / no-memory agent / context-dilution / Preserve”属于不同可比较条件。</w:t>
      </w:r>
    </w:p>
    <w:p>
      <w:r>
        <w:rPr>
          <w:rFonts w:ascii="Calibri" w:hAnsi="Calibri" w:eastAsia="PingFang SC"/>
        </w:rPr>
        <w:t>HELM 先系统枚举场景与指标空间，再基于覆盖和可行性选择子集并明确缺口；这正适合本项目的两个月约束。</w:t>
      </w:r>
      <w:hyperlink r:id="rId67">
        <w:r>
          <w:rPr>
            <w:rFonts w:ascii="Calibri" w:hAnsi="Calibri" w:eastAsia="PingFang SC"/>
            <w:color w:val="2E74B5"/>
            <w:u w:val="single"/>
          </w:rPr>
          <w:t>[22]</w:t>
        </w:r>
      </w:hyperlink>
      <w:r>
        <w:rPr>
          <w:rFonts w:ascii="Calibri" w:hAnsi="Calibri" w:eastAsia="PingFang SC"/>
        </w:rPr>
        <w:t xml:space="preserve"> 本项目不声称首版覆盖全集，而发布</w:t>
      </w:r>
      <w:r>
        <w:rPr>
          <w:rFonts w:ascii="Calibri" w:hAnsi="Calibri" w:eastAsia="PingFang SC"/>
          <w:b/>
        </w:rPr>
        <w:t>机器可读 coverage manifest</w:t>
      </w:r>
      <w:r>
        <w:rPr>
          <w:rFonts w:ascii="Calibri" w:hAnsi="Calibri" w:eastAsia="PingFang SC"/>
        </w:rPr>
        <w:t>：列出 ontology 中哪些值已定义、哪些组合已测试、哪些是结构性不适用、哪些因资源不足留待后续。相较“我们覆盖了很多任务”的宽泛表述，这是一项可审计、可扩展的 benchmark 资产。BetterBench 对 benchmark 生命周期质量和统计/复现缺口的系统检查，以及 BenchmarkCards 对目标、方法、来源与限制的标准化，也支持把元数据、覆盖声明和版本记录纳入主贡献而非附录。</w:t>
      </w:r>
      <w:hyperlink r:id="rId68">
        <w:r>
          <w:rPr>
            <w:rFonts w:ascii="Calibri" w:hAnsi="Calibri" w:eastAsia="PingFang SC"/>
            <w:color w:val="2E74B5"/>
            <w:u w:val="single"/>
          </w:rPr>
          <w:t>[24]</w:t>
        </w:r>
      </w:hyperlink>
      <w:hyperlink r:id="rId69">
        <w:r>
          <w:rPr>
            <w:rFonts w:ascii="Calibri" w:hAnsi="Calibri" w:eastAsia="PingFang SC"/>
            <w:color w:val="2E74B5"/>
            <w:u w:val="single"/>
          </w:rPr>
          <w:t>[25]</w:t>
        </w:r>
      </w:hyperlink>
    </w:p>
    <w:p>
      <w:pPr>
        <w:pStyle w:val="Heading2"/>
      </w:pPr>
      <w:r>
        <w:t>4.1.1 任务立方体：Research Task 平面的抽样骨架</w:t>
      </w:r>
    </w:p>
    <w:p>
      <w:r>
        <w:rPr>
          <w:rFonts w:ascii="Calibri" w:hAnsi="Calibri" w:eastAsia="PingFang SC"/>
        </w:rPr>
        <w:t>“PhD-level research questions”和“daily research questions”可以进入分类，但不应直接成为唯一、互斥的任务标签。前者混合了目标用户、领域专长与难度，后者混合了使用场景与内容主题；一个日常跨国旅行决策可能比单篇论文解释具有更高搜索 fan-out，而一个博士用户也可能只提出低复杂度事实核验。因此 Research Task 平面使用三个正交层。</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4"/>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4"/>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4"/>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4"/>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4"/>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4"/>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领域（健康、金融、软件、教育等）和交付格式（报告、表格、代码、幻灯、网页等）继续作为正交切片，不替代研究意图。主榜必须分别报告三个 stratum、六个 intent 和需求剖面上的表现；不得用一个 overall average 掩盖某一使用场景的系统性失败。</w:t>
      </w:r>
    </w:p>
    <w:p>
      <w:r>
        <w:rPr>
          <w:rFonts w:ascii="Calibri" w:hAnsi="Calibri" w:eastAsia="PingFang SC"/>
        </w:rPr>
        <w:t>这套 task cube 服务于</w:t>
      </w:r>
      <w:r>
        <w:rPr>
          <w:rFonts w:ascii="Calibri" w:hAnsi="Calibri" w:eastAsia="PingFang SC"/>
          <w:b/>
        </w:rPr>
        <w:t>样本覆盖、难度匹配和榜单解释</w:t>
      </w:r>
      <w:r>
        <w:rPr>
          <w:rFonts w:ascii="Calibri" w:hAnsi="Calibri" w:eastAsia="PingFang SC"/>
        </w:rPr>
        <w:t>；下面的双轴 taxonomy 服务于</w:t>
      </w:r>
      <w:r>
        <w:rPr>
          <w:rFonts w:ascii="Calibri" w:hAnsi="Calibri" w:eastAsia="PingFang SC"/>
          <w:b/>
        </w:rPr>
        <w:t>错误诊断和机制研究</w:t>
      </w:r>
      <w:r>
        <w:rPr>
          <w:rFonts w:ascii="Calibri" w:hAnsi="Calibri" w:eastAsia="PingFang SC"/>
        </w:rPr>
        <w:t>。例如同一个“比较与决策”任务可以触发内容错配、利用失败或隐私越界，任务类型本身并不说明模型为什么失败。</w:t>
      </w:r>
    </w:p>
    <w:p>
      <w:pPr>
        <w:pStyle w:val="Heading2"/>
      </w:pPr>
      <w:r>
        <w:t>4.2 个性化结果风险：最终交付物错在何处</w:t>
      </w:r>
    </w:p>
    <w:p>
      <w:pPr>
        <w:numPr>
          <w:ilvl w:val="0"/>
          <w:numId w:val="15"/>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5"/>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5"/>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5"/>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5"/>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5"/>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5"/>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5"/>
        </w:numPr>
        <w:spacing w:after="80" w:line="290" w:lineRule="auto"/>
        <w:ind w:left="540" w:hanging="279"/>
      </w:pPr>
      <w:r>
        <w:rPr>
          <w:rFonts w:ascii="Calibri" w:hAnsi="Calibri" w:eastAsia="PingFang SC"/>
          <w:b/>
        </w:rPr>
        <w:t>动态更新与恢复失败</w:t>
      </w:r>
      <w:r>
        <w:rPr>
          <w:rFonts w:ascii="Calibri" w:hAnsi="Calibri" w:eastAsia="PingFang SC"/>
        </w:rPr>
        <w:t>：预算、目标、状态或纠正发生变化后，交付物仍基于旧用户模型。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澄清对话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主动提问、用户回答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问错问题、过度打扰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禁止提问 / oracle 回答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6"/>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6"/>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6"/>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6"/>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6"/>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6"/>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6"/>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6"/>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6"/>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numPr>
          <w:ilvl w:val="0"/>
          <w:numId w:val="16"/>
        </w:numPr>
        <w:spacing w:after="80" w:line="290" w:lineRule="auto"/>
        <w:ind w:left="540" w:hanging="279"/>
      </w:pPr>
      <w:r>
        <w:rPr>
          <w:rFonts w:ascii="Calibri" w:hAnsi="Calibri" w:eastAsia="PingFang SC"/>
          <w:b/>
        </w:rPr>
        <w:t>恢复失败</w:t>
      </w:r>
      <w:r>
        <w:rPr>
          <w:rFonts w:ascii="Calibri" w:hAnsi="Calibri" w:eastAsia="PingFang SC"/>
        </w:rPr>
        <w:t>：收到纠正、重新锚定或 verifier 信号后仍未修复，或修复造成新的质量损失。</w:t>
      </w:r>
    </w:p>
    <w:p>
      <w:pPr>
        <w:pStyle w:val="Heading2"/>
      </w:pPr>
      <w:r>
        <w:t>4.5 从 taxonomy 到可运行任务矩阵</w:t>
      </w:r>
    </w:p>
    <w:p>
      <w:r>
        <w:rPr>
          <w:rFonts w:ascii="Calibri" w:hAnsi="Calibri" w:eastAsia="PingFang SC"/>
        </w:rPr>
        <w:t>每个 case 在模型运行前记录：</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、触发条件与预期可观察行为。为保证统计可解释性，主意图与主风险使用单标签；次级意图和失败模式允许多标签。运行后另存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与置信度，禁止由任务标签或预期标签自动填充实际标签。</w:t>
      </w:r>
    </w:p>
    <w:p>
      <w:r>
        <w:rPr>
          <w:rFonts w:ascii="Calibri" w:hAnsi="Calibri" w:eastAsia="PingFang SC"/>
        </w:rPr>
        <w:t xml:space="preserve">这套分类需要四项防循环措施：第一，taxonomy 先由真实 pilot 轨迹、用户访谈和文献做 open coding，再冻结；第二，保留自然任务和 </w:t>
      </w:r>
      <w:r>
        <w:rPr>
          <w:rFonts w:ascii="Courier New" w:hAnsi="Courier New" w:eastAsia="PingFang SC"/>
          <w:color w:val="6A3E00"/>
          <w:sz w:val="20"/>
        </w:rPr>
        <w:t>other/emergent</w:t>
      </w:r>
      <w:r>
        <w:rPr>
          <w:rFonts w:ascii="Calibri" w:hAnsi="Calibri" w:eastAsia="PingFang SC"/>
        </w:rPr>
        <w:t xml:space="preserve"> 通道，检验未预设失败；第三，预期 failure-mode 标签对主 rubric judge 隐藏；第四，报告每个切片的样本量、覆盖率和多标签共现矩阵，而不把不稳定小切片包装成结论。</w:t>
      </w:r>
    </w:p>
    <w:p>
      <w:pPr>
        <w:pStyle w:val="Heading1"/>
      </w:pPr>
      <w:r>
        <w:t>5. Benchmark 数据结构与构建流程</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完整协议中每个 family 可含 4 个用户：2 个构成强对比，1 个包含部分重叠/冲突，1 个中性控制。为适应两个月论文周期，主实验固定为 </w:t>
      </w:r>
      <w:r>
        <w:rPr>
          <w:rFonts w:ascii="Calibri" w:hAnsi="Calibri" w:eastAsia="PingFang SC"/>
          <w:b/>
        </w:rPr>
        <w:t>2 个强对比用户</w:t>
      </w:r>
      <w:r>
        <w:rPr>
          <w:rFonts w:ascii="Calibri" w:hAnsi="Calibri" w:eastAsia="PingFang SC"/>
        </w:rPr>
        <w:t>；只在 8 个 anchor family 中加入冲突用户或中性控制。每个用户在不同信息渠道下保持语义等价，允许测量“渠道效应”而非“事实内容效应”。对同一 agent 使用配对运行设置，以减少搜索和采样方差。</w:t>
      </w:r>
    </w:p>
    <w:p>
      <w:pPr>
        <w:pStyle w:val="Heading2"/>
      </w:pPr>
      <w:r>
        <w:t>5.2 任务与交付物覆盖</w:t>
      </w:r>
    </w:p>
    <w:p>
      <w:r>
        <w:rPr>
          <w:rFonts w:ascii="Calibri" w:hAnsi="Calibri" w:eastAsia="PingFang SC"/>
        </w:rPr>
        <w:t xml:space="preserve">两个月论文版冻结为 </w:t>
      </w:r>
      <w:r>
        <w:rPr>
          <w:rFonts w:ascii="Calibri" w:hAnsi="Calibri" w:eastAsia="PingFang SC"/>
          <w:b/>
        </w:rPr>
        <w:t>24 个基础任务 family × 2 个强对比用户 = 48 个核心 user-task 实例</w:t>
      </w:r>
      <w:r>
        <w:rPr>
          <w:rFonts w:ascii="Calibri" w:hAnsi="Calibri" w:eastAsia="PingFang SC"/>
        </w:rPr>
        <w:t xml:space="preserve">。先用 18 个 family 覆盖 </w:t>
      </w:r>
      <w:r>
        <w:rPr>
          <w:rFonts w:ascii="Courier New" w:hAnsi="Courier New" w:eastAsia="PingFang SC"/>
          <w:color w:val="6A3E00"/>
          <w:sz w:val="20"/>
        </w:rPr>
        <w:t>3 个使用情境 × 6 个研究意图</w:t>
      </w:r>
      <w:r>
        <w:rPr>
          <w:rFonts w:ascii="Calibri" w:hAnsi="Calibri" w:eastAsia="PingFang SC"/>
        </w:rPr>
        <w:t xml:space="preserve"> 的主单元，再用 6 个 family 复测个性化效应预计最强、最弱或 stakes 较高的单元。这个规模用于证明测量构念、渠道效应和典型失败，不足以对 18 个单元分别做稳定排名；论文必须明确这一外推边界。若某一组合在现实中不成立，应预注册结构性缺格，而不是制造不自然任务补齐表格。</w:t>
      </w:r>
    </w:p>
    <w:p>
      <w:r>
        <w:rPr>
          <w:rFonts w:ascii="Calibri" w:hAnsi="Calibri" w:eastAsia="PingFang SC"/>
        </w:rPr>
        <w:t xml:space="preserve">每个 family 标注完整 Atlas 元数据，但不运行所有组合。核心矩阵只比较 </w:t>
      </w:r>
      <w:r>
        <w:rPr>
          <w:rFonts w:ascii="Courier New" w:hAnsi="Courier New" w:eastAsia="PingFang SC"/>
          <w:color w:val="6A3E00"/>
          <w:sz w:val="20"/>
        </w:rPr>
        <w:t>task-only / structured persona / semantic-equivalent natural history / clarification-allowed</w:t>
      </w:r>
      <w:r>
        <w:rPr>
          <w:rFonts w:ascii="Calibri" w:hAnsi="Calibri" w:eastAsia="PingFang SC"/>
        </w:rPr>
        <w:t xml:space="preserve"> 四种信号条件和三类可比 agent；</w:t>
      </w:r>
      <w:r>
        <w:rPr>
          <w:rFonts w:ascii="Courier New" w:hAnsi="Courier New" w:eastAsia="PingFang SC"/>
          <w:color w:val="6A3E00"/>
          <w:sz w:val="20"/>
        </w:rPr>
        <w:t>shuffled persona / irrelevant persona / stale-conflict / context dilution / dynamic update</w:t>
      </w:r>
      <w:r>
        <w:rPr>
          <w:rFonts w:ascii="Calibri" w:hAnsi="Calibri" w:eastAsia="PingFang SC"/>
        </w:rPr>
        <w:t xml:space="preserve"> 只在 8 个 anchor family 上以分数因子方式测试。目标是最大化测试算子的辨识力，而不是最大化运行数量。120 个任务、480 个 user-task 实例保留为论文后的扩展路线，不写入两个月主实验承诺。</w:t>
      </w:r>
    </w:p>
    <w:p>
      <w:r>
        <w:rPr>
          <w:rFonts w:ascii="Calibri" w:hAnsi="Calibri" w:eastAsia="PingFang SC"/>
        </w:rPr>
        <w:t xml:space="preserve">这里的 </w:t>
      </w:r>
      <w:r>
        <w:rPr>
          <w:rFonts w:ascii="Calibri" w:hAnsi="Calibri" w:eastAsia="PingFang SC"/>
          <w:b/>
        </w:rPr>
        <w:t>anchor family 是压力测试宿主，不是 persona 类别，也不是扰动名称</w:t>
      </w:r>
      <w:r>
        <w:rPr>
          <w:rFonts w:ascii="Calibri" w:hAnsi="Calibri" w:eastAsia="PingFang SC"/>
        </w:rPr>
        <w:t>。实验分两阶段。第一阶段先构造 clean counterfactual family：Ua/Ub 都与任务自然匹配并通过六项 compatibility gate，冻结 matched/swapped 预测、must-change 与 must-hold；persona–task 匹配只解决这一步。第二阶段才固定目标用户、任务、证据和预算，对可见信号、上下文、agent 结构或 episode 时点施加一个预注册扰动。只有相对同一 clean baseline 的配对差值才进入扰动效应。</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Re-anchor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同一运行前缀与目标用户</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交付前重申最小必要约束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paired recovery gain 与副作用</w:t>
            </w:r>
          </w:p>
        </w:tc>
      </w:tr>
    </w:tbl>
    <w:p>
      <w:pPr>
        <w:spacing w:after="40"/>
      </w:pPr>
    </w:p>
    <w:p>
      <w:r>
        <w:rPr>
          <w:rFonts w:ascii="Calibri" w:hAnsi="Calibri" w:eastAsia="PingFang SC"/>
        </w:rPr>
        <w:t>为控制两个月预算，不构造完整笛卡尔积。8 个 anchor 全部运行 clean baseline、persona swap 与 irrelevant-signal 控制；其余扰动只分配给满足 eligibility predicate 的 family，并在 coverage manifest 中公开缺格。Re-anchor 是</w:t>
      </w:r>
      <w:r>
        <w:rPr>
          <w:rFonts w:ascii="Calibri" w:hAnsi="Calibri" w:eastAsia="PingFang SC"/>
          <w:b/>
        </w:rPr>
        <w:t>恢复干预</w:t>
      </w:r>
      <w:r>
        <w:rPr>
          <w:rFonts w:ascii="Calibri" w:hAnsi="Calibri" w:eastAsia="PingFang SC"/>
        </w:rPr>
        <w:t xml:space="preserve">而非 attack/failure class，必须在预注册子集上无条件成对运行，不能只挑已经失败的 episode，否则会产生 selection-on-failure bias。每次扰动保存 </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w:t>
      </w:r>
      <w:r>
        <w:rPr>
          <w:rFonts w:ascii="Courier New" w:hAnsi="Courier New" w:eastAsia="PingFang SC"/>
          <w:color w:val="6A3E00"/>
          <w:sz w:val="20"/>
        </w:rPr>
        <w:t>recovery_policy</w:t>
      </w:r>
      <w:r>
        <w:rPr>
          <w:rFonts w:ascii="Calibri" w:hAnsi="Calibri" w:eastAsia="PingFang SC"/>
        </w:rPr>
        <w:t xml:space="preserve"> 与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领域和交付物作为交叉切片：领域至少覆盖消费与旅行、教育与职业、金融决策、健康信息、企业/合规、软件工程与数据、科研与政策、内容与传播；交付物覆盖研究报告、决策备忘录、表格/工作簿、代码与技术说明、幻灯、网页和多文件项目。高风险任务只评估信息支持和升级决策，不评估无监督执行医疗、法律或金融交易。</w:t>
      </w:r>
    </w:p>
    <w:p>
      <w:pPr>
        <w:pStyle w:val="Heading2"/>
      </w:pPr>
      <w:r>
        <w:t>5.3 三条评测轨道</w:t>
      </w:r>
    </w:p>
    <w:p>
      <w:pPr>
        <w:pStyle w:val="ListBullet"/>
      </w:pPr>
      <w:r>
        <w:rPr>
          <w:rFonts w:ascii="Calibri" w:hAnsi="Calibri" w:eastAsia="PingFang SC"/>
          <w:b/>
        </w:rPr>
        <w:t>Frozen Core Track（两个月主实验）</w:t>
      </w:r>
      <w:r>
        <w:rPr>
          <w:rFonts w:ascii="Calibri" w:hAnsi="Calibri" w:eastAsia="PingFang SC"/>
        </w:rPr>
        <w:t>：固定语料、固定私有数据快照和确定性工具，负责可复现结论。</w:t>
      </w:r>
    </w:p>
    <w:p>
      <w:pPr>
        <w:pStyle w:val="ListBullet"/>
      </w:pPr>
      <w:r>
        <w:rPr>
          <w:rFonts w:ascii="Calibri" w:hAnsi="Calibri" w:eastAsia="PingFang SC"/>
          <w:b/>
        </w:rPr>
        <w:t>Live Web Track（生态附加实验）</w:t>
      </w:r>
      <w:r>
        <w:rPr>
          <w:rFonts w:ascii="Calibri" w:hAnsi="Calibri" w:eastAsia="PingFang SC"/>
        </w:rPr>
        <w:t>：只在预注册子集记录运行时间、搜索供应商与快照，不与 frozen 结果混排。</w:t>
      </w:r>
    </w:p>
    <w:p>
      <w:pPr>
        <w:pStyle w:val="ListBullet"/>
      </w:pPr>
      <w:r>
        <w:rPr>
          <w:rFonts w:ascii="Calibri" w:hAnsi="Calibri" w:eastAsia="PingFang SC"/>
          <w:b/>
        </w:rPr>
        <w:t>Longitudinal/Interactive Track（8 个 anchor family）</w:t>
      </w:r>
      <w:r>
        <w:rPr>
          <w:rFonts w:ascii="Calibri" w:hAnsi="Calibri" w:eastAsia="PingFang SC"/>
        </w:rPr>
        <w:t>：用户状态和环境中途变化，评估提问、更新、漂移与恢复。</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的一种序列化形式</w:t>
      </w:r>
      <w:r>
        <w:rPr>
          <w:rFonts w:ascii="Calibri" w:hAnsi="Calibri" w:eastAsia="PingFang SC"/>
        </w:rPr>
        <w:t>。真实性和“不违和”只是最低门槛；如果 persona 不会导致可验证的任务后果，它不能支持个性化 ground truth。主数据采用三层来源：真实用户自述的 gold 子集；由真实用户需求锚定、再做隐私抽象的 user-anchored 主集；仅用于负对照的合成/扰动 persona。未经本人确认的研究者推断不能进入 gold。</w:t>
      </w:r>
    </w:p>
    <w:p>
      <w:r>
        <w:rPr>
          <w:rFonts w:ascii="Calibri" w:hAnsi="Calibri" w:eastAsia="PingFang SC"/>
        </w:rPr>
        <w:t>人类真值分成两个不可互换的角色。领域专家或训练过的标注者负责共同事实、证据充分性、must-hold 和客观任务完成；目标用户本人负责确认 must-change / must-not、可接受替代集合，并对 matched/swapped 交付物做盲式成对判断。真实用户 gold family 必须保留目标用户判断；user-anchored family 可由同一需求来源用户或通过资格筛选的匹配用户验证；纯合成 persona 只能进入机制压力测试和 judge 对抗集，不能单独支撑“真实用户效用”结论。该分工直接回应 MyScholarQA 发现的 synthetic-user / LLM-judge 漏检风险。</w:t>
      </w:r>
      <w:hyperlink r:id="rId27">
        <w:r>
          <w:rPr>
            <w:rFonts w:ascii="Calibri" w:hAnsi="Calibri" w:eastAsia="PingFang SC"/>
            <w:color w:val="2E74B5"/>
            <w:u w:val="single"/>
          </w:rPr>
          <w:t>[41]</w:t>
        </w:r>
      </w:hyperlink>
    </w:p>
    <w:p>
      <w:r>
        <w:rPr>
          <w:rFonts w:ascii="Calibri" w:hAnsi="Calibri" w:eastAsia="PingFang SC"/>
        </w:rPr>
        <w:t>每个 persona-task pairing 必须通过六项兼容性门：</w:t>
      </w:r>
    </w:p>
    <w:p>
      <w:pPr>
        <w:numPr>
          <w:ilvl w:val="0"/>
          <w:numId w:val="17"/>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17"/>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17"/>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17"/>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17"/>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17"/>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采用四道门：作者预检、自动 schema/环境验证、独立专家复核、pilot 输出后的人类后检。删除无法稳定区分用户、只有表面差异、证据不完整、工具不可复现或 rubric 存在循环定义的任务。至少 20% case 做双人独立构建，计算 rubric 原子项的一致性；争议通过 adjudication 解决并留审计记录。</w:t>
      </w:r>
    </w:p>
    <w:p>
      <w:r>
        <w:rPr>
          <w:rFonts w:ascii="Calibri" w:hAnsi="Calibri" w:eastAsia="PingFang SC"/>
        </w:rPr>
        <w:t>任务分类另设盲审：独立标注员只看 case 材料，不看作者指定标签，分别判断 task stratum、主研究意图、需求剖面、主风险与预期 failure mode。intent 采用主标签加次标签，failure mode 允许多标签；若主标签一致性低于预注册门槛，应合并或重定义类别。必须区分“高覆盖 taxonomy”与“高互斥 taxonomy”：本项目优先覆盖真实复杂性，但不允许用类别数量本身宣称全面性。</w:t>
      </w:r>
    </w:p>
    <w:p>
      <w:pPr>
        <w:pStyle w:val="Heading1"/>
      </w:pPr>
      <w:r>
        <w:t>6. Rubric 设计</w:t>
      </w:r>
    </w:p>
    <w:p>
      <w:pPr>
        <w:pStyle w:val="Heading2"/>
      </w:pPr>
      <w:r>
        <w:t>6.1 元数据驱动的 Rubric Compiler</w:t>
      </w:r>
    </w:p>
    <w:p>
      <w:r>
        <w:rPr>
          <w:rFonts w:ascii="Calibri" w:hAnsi="Calibri" w:eastAsia="PingFang SC"/>
        </w:rPr>
        <w:t>“一套 rubric 服务所有 DR 类型”不应理解为所有任务共享相同叶节点，而应理解为：所有叶节点遵循同一 schema，并由 Atlas 元数据选择可适用模块。对 case (c)，冻结 rubric 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r>
        <w:rPr>
          <w:rFonts w:ascii="Calibri" w:hAnsi="Calibri" w:eastAsia="PingFang SC"/>
        </w:rPr>
        <w:t>每个 case 的评价契约先拆成四类：</w:t>
      </w:r>
      <w:r>
        <w:rPr>
          <w:rFonts w:ascii="Courier New" w:hAnsi="Courier New" w:eastAsia="PingFang SC"/>
          <w:color w:val="6A3E00"/>
          <w:sz w:val="20"/>
        </w:rPr>
        <w:t>must_change</w:t>
      </w:r>
      <w:r>
        <w:rPr>
          <w:rFonts w:ascii="Calibri" w:hAnsi="Calibri" w:eastAsia="PingFang SC"/>
        </w:rPr>
        <w:t>（不同用户必须产生差异）、</w:t>
      </w:r>
      <w:r>
        <w:rPr>
          <w:rFonts w:ascii="Courier New" w:hAnsi="Courier New" w:eastAsia="PingFang SC"/>
          <w:color w:val="6A3E00"/>
          <w:sz w:val="20"/>
        </w:rPr>
        <w:t>must_hold</w:t>
      </w:r>
      <w:r>
        <w:rPr>
          <w:rFonts w:ascii="Calibri" w:hAnsi="Calibri" w:eastAsia="PingFang SC"/>
        </w:rPr>
        <w:t>（共同事实与质量必须保持）、</w:t>
      </w:r>
      <w:r>
        <w:rPr>
          <w:rFonts w:ascii="Courier New" w:hAnsi="Courier New" w:eastAsia="PingFang SC"/>
          <w:color w:val="6A3E00"/>
          <w:sz w:val="20"/>
        </w:rPr>
        <w:t>must_not</w:t>
      </w:r>
      <w:r>
        <w:rPr>
          <w:rFonts w:ascii="Calibri" w:hAnsi="Calibri" w:eastAsia="PingFang SC"/>
        </w:rPr>
        <w:t>（不得假设、披露或迎合）、</w:t>
      </w:r>
      <w:r>
        <w:rPr>
          <w:rFonts w:ascii="Courier New" w:hAnsi="Courier New" w:eastAsia="PingFang SC"/>
          <w:color w:val="6A3E00"/>
          <w:sz w:val="20"/>
        </w:rPr>
        <w:t>clarify_if_unknown</w:t>
      </w:r>
      <w:r>
        <w:rPr>
          <w:rFonts w:ascii="Calibri" w:hAnsi="Calibri" w:eastAsia="PingFang SC"/>
        </w:rPr>
        <w:t>（缺少关键信息时应澄清或给条件分支）。这四类契约比“总体个性化分”更直接地连接元数据、反事实输出和 judge。</w:t>
      </w:r>
    </w:p>
    <w:p>
      <w:r>
        <w:rPr>
          <w:rFonts w:ascii="Calibri" w:hAnsi="Calibri" w:eastAsia="PingFang SC"/>
        </w:rPr>
        <w:t>Rubric compiler 必须接受四项覆盖校验：</w:t>
      </w:r>
    </w:p>
    <w:p>
      <w:pPr>
        <w:numPr>
          <w:ilvl w:val="0"/>
          <w:numId w:val="18"/>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18"/>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18"/>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18"/>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r>
        <w:rPr>
          <w:rFonts w:ascii="Calibri" w:hAnsi="Calibri" w:eastAsia="PingFang SC"/>
        </w:rPr>
        <w:t>若某个模块在人类之间不可稳定判定，或没有 matched/swapped 区分力，应删除、合并或降为探索性元数据，不能通过调权重把它“救”进主分。这样 rubric 的“普适性”来自统一接口、显式适用条件和跨类型校准，而不是强迫一张总表覆盖所有任务。</w:t>
      </w:r>
    </w:p>
    <w:p>
      <w:pPr>
        <w:pStyle w:val="Heading2"/>
      </w:pPr>
      <w:r>
        <w:t>6.2 三棵独立 rubric tree</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动态状态更新与纠正吸收。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6.3 原子 rubric schema</w:t>
      </w:r>
    </w:p>
    <w:p>
      <w:r>
        <w:rPr>
          <w:rFonts w:ascii="Calibri" w:hAnsi="Calibri" w:eastAsia="PingFang SC"/>
        </w:rPr>
        <w:t>每个叶节点包含：</w:t>
      </w:r>
      <w:r>
        <w:rPr>
          <w:rFonts w:ascii="Courier New" w:hAnsi="Courier New" w:eastAsia="PingFang SC"/>
          <w:color w:val="6A3E00"/>
          <w:sz w:val="20"/>
        </w:rPr>
        <w:t>criterion_id</w:t>
      </w:r>
      <w:r>
        <w:rPr>
          <w:rFonts w:ascii="Calibri" w:hAnsi="Calibri" w:eastAsia="PingFang SC"/>
        </w:rPr>
        <w:t>、</w:t>
      </w:r>
      <w:r>
        <w:rPr>
          <w:rFonts w:ascii="Courier New" w:hAnsi="Courier New" w:eastAsia="PingFang SC"/>
          <w:color w:val="6A3E00"/>
          <w:sz w:val="20"/>
        </w:rPr>
        <w:t>module_id</w:t>
      </w:r>
      <w:r>
        <w:rPr>
          <w:rFonts w:ascii="Calibri" w:hAnsi="Calibri" w:eastAsia="PingFang SC"/>
        </w:rPr>
        <w:t>、类型（common / user-positive / violation）、</w:t>
      </w:r>
      <w:r>
        <w:rPr>
          <w:rFonts w:ascii="Courier New" w:hAnsi="Courier New" w:eastAsia="PingFang SC"/>
          <w:color w:val="6A3E00"/>
          <w:sz w:val="20"/>
        </w:rPr>
        <w:t>applicability_predicate</w:t>
      </w:r>
      <w:r>
        <w:rPr>
          <w:rFonts w:ascii="Calibri" w:hAnsi="Calibri" w:eastAsia="PingFang SC"/>
        </w:rPr>
        <w:t>、可观察要求、证据来源、预期方向（change/hold/not/clarify）、权重、评分刻度、允许替代、适用用户、置信度、硬门槛、反事实对照与首选 verifier。正向项采用 0/0.5/1 或 0/1/2 的锚定等级；客观项尽量二元；负向项单独扣分，不用含糊的 1–10 整体印象分。</w:t>
      </w:r>
    </w:p>
    <w:p>
      <w:r>
        <w:rPr>
          <w:rFonts w:ascii="Calibri" w:hAnsi="Calibri" w:eastAsia="PingFang SC"/>
        </w:rPr>
        <w:t>示例：同一“为咖啡店扩店做市场调研”任务中，外行店主且报告要给银行：</w:t>
      </w:r>
    </w:p>
    <w:p>
      <w:pPr>
        <w:pStyle w:val="ListBullet"/>
      </w:pPr>
      <w:r>
        <w:rPr>
          <w:rFonts w:ascii="Courier New" w:hAnsi="Courier New" w:eastAsia="PingFang SC"/>
          <w:color w:val="6A3E00"/>
          <w:sz w:val="20"/>
        </w:rPr>
        <w:t>C-CITE-03</w:t>
      </w:r>
      <w:r>
        <w:rPr>
          <w:rFonts w:ascii="Calibri" w:hAnsi="Calibri" w:eastAsia="PingFang SC"/>
        </w:rPr>
        <w:t>：三项关键市场数据均有可访问来源（共同，2 分）；</w:t>
      </w:r>
    </w:p>
    <w:p>
      <w:pPr>
        <w:pStyle w:val="ListBullet"/>
      </w:pPr>
      <w:r>
        <w:rPr>
          <w:rFonts w:ascii="Courier New" w:hAnsi="Courier New" w:eastAsia="PingFang SC"/>
          <w:color w:val="6A3E00"/>
          <w:sz w:val="20"/>
        </w:rPr>
        <w:t>U-AUD-02</w:t>
      </w:r>
      <w:r>
        <w:rPr>
          <w:rFonts w:ascii="Calibri" w:hAnsi="Calibri" w:eastAsia="PingFang SC"/>
        </w:rPr>
        <w:t>：正文首次出现“渗透率/同比”时用非技术语言解释，技术细节放附录（用户特异，2 分）；</w:t>
      </w:r>
    </w:p>
    <w:p>
      <w:pPr>
        <w:pStyle w:val="ListBullet"/>
      </w:pPr>
      <w:r>
        <w:rPr>
          <w:rFonts w:ascii="Courier New" w:hAnsi="Courier New" w:eastAsia="PingFang SC"/>
          <w:color w:val="6A3E00"/>
          <w:sz w:val="20"/>
        </w:rPr>
        <w:t>U-DEC-04</w:t>
      </w:r>
      <w:r>
        <w:rPr>
          <w:rFonts w:ascii="Calibri" w:hAnsi="Calibri" w:eastAsia="PingFang SC"/>
        </w:rPr>
        <w:t>：建议按现金流承压给出可逆的试点门槛，而非只给单一结论（用户特异，3 分）；</w:t>
      </w:r>
    </w:p>
    <w:p>
      <w:pPr>
        <w:pStyle w:val="ListBullet"/>
      </w:pPr>
      <w:r>
        <w:rPr>
          <w:rFonts w:ascii="Courier New" w:hAnsi="Courier New" w:eastAsia="PingFang SC"/>
          <w:color w:val="6A3E00"/>
          <w:sz w:val="20"/>
        </w:rPr>
        <w:t>V-PRIV-01</w:t>
      </w:r>
      <w:r>
        <w:rPr>
          <w:rFonts w:ascii="Calibri" w:hAnsi="Calibri" w:eastAsia="PingFang SC"/>
        </w:rPr>
        <w:t>：不得在给银行版本中披露店主未授权的个人健康或家庭信息（硬性扣分/封顶）。</w:t>
      </w:r>
    </w:p>
    <w:p>
      <w:pPr>
        <w:pStyle w:val="Heading2"/>
      </w:pPr>
      <w:r>
        <w:t>6.4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对实例 (i)：</w:t>
      </w:r>
    </w:p>
    <w:p>
      <w:pPr>
        <w:pStyle w:val="ListBullet"/>
      </w:pPr>
      <w:r>
        <w:rPr>
          <w:rFonts w:ascii="Calibri" w:hAnsi="Calibri" w:eastAsia="PingFang SC"/>
          <w:b/>
        </w:rPr>
        <w:t>TQ（Task Quality）</w:t>
      </w:r>
      <w:r>
        <w:rPr>
          <w:rFonts w:ascii="Calibri" w:hAnsi="Calibri" w:eastAsia="PingFang SC"/>
        </w:rPr>
        <w:t>：共同质量树的加权原子完成率，0–100；</w:t>
      </w:r>
    </w:p>
    <w:p>
      <w:pPr>
        <w:pStyle w:val="ListBullet"/>
      </w:pPr>
      <w:r>
        <w:rPr>
          <w:rFonts w:ascii="Calibri" w:hAnsi="Calibri" w:eastAsia="PingFang SC"/>
          <w:b/>
        </w:rPr>
        <w:t>PF（Personalized Fit）</w:t>
      </w:r>
      <w:r>
        <w:rPr>
          <w:rFonts w:ascii="Calibri" w:hAnsi="Calibri" w:eastAsia="PingFang SC"/>
        </w:rPr>
        <w:t>：用户特异正向树的加权完成率，0–100；</w:t>
      </w:r>
    </w:p>
    <w:p>
      <w:pPr>
        <w:pStyle w:val="ListBullet"/>
      </w:pPr>
      <w:r>
        <w:rPr>
          <w:rFonts w:ascii="Calibri" w:hAnsi="Calibri" w:eastAsia="PingFang SC"/>
          <w:b/>
        </w:rPr>
        <w:t>MP（Misuse Penalty）</w:t>
      </w:r>
      <w:r>
        <w:rPr>
          <w:rFonts w:ascii="Calibri" w:hAnsi="Calibri" w:eastAsia="PingFang SC"/>
        </w:rPr>
        <w:t>：误用与边界树的加权扣分，0–100；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净个性化分为 </w:t>
      </w:r>
      <w:r>
        <w:rPr>
          <w:rFonts w:ascii="Courier New" w:hAnsi="Courier New" w:eastAsia="PingFang SC"/>
          <w:color w:val="6A3E00"/>
          <w:sz w:val="20"/>
        </w:rPr>
        <w:t>NPF = max(0, PF − MP)</w:t>
      </w:r>
      <w:r>
        <w:rPr>
          <w:rFonts w:ascii="Calibri" w:hAnsi="Calibri" w:eastAsia="PingFang SC"/>
        </w:rPr>
        <w:t xml:space="preserve">。主榜不直接对所有项做算术平均：先要求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 xml:space="preserve"> 且无关键隐私/安全违规，再比较 NPF；未过门槛的系统标记为“基础质量未达标”。同时公布无门槛的完整二维/多维结果，避免隐藏信息。</w:t>
      </w:r>
    </w:p>
    <w:p>
      <w:pPr>
        <w:pStyle w:val="Heading2"/>
      </w:pPr>
      <w:r>
        <w:t>7.2 反事实个性化指标</w:t>
      </w:r>
    </w:p>
    <w:p>
      <w:r>
        <w:rPr>
          <w:rFonts w:ascii="Calibri" w:hAnsi="Calibri" w:eastAsia="PingFang SC"/>
        </w:rPr>
        <w:t>对于同一任务的用户 (a,b)，报告分别为 (Y_a,Y_b)，定义匹配优势：</w:t>
      </w:r>
    </w:p>
    <w:p>
      <w:r>
        <w:rPr>
          <w:rFonts w:ascii="Courier New" w:hAnsi="Courier New" w:eastAsia="PingFang SC"/>
          <w:color w:val="6A3E00"/>
          <w:sz w:val="20"/>
        </w:rPr>
        <w:t>CFA(a,b) = 1/2 × [(PF_a(Y_a) − PF_a(Y_b)) + (PF_b(Y_b) − PF_b(Y_a))]</w:t>
      </w:r>
      <w:r>
        <w:rPr>
          <w:rFonts w:ascii="Calibri" w:hAnsi="Calibri" w:eastAsia="PingFang SC"/>
        </w:rPr>
        <w:t>。</w:t>
      </w:r>
    </w:p>
    <w:p>
      <w:r>
        <w:rPr>
          <w:rFonts w:ascii="Calibri" w:hAnsi="Calibri" w:eastAsia="PingFang SC"/>
          <w:b/>
        </w:rPr>
        <w:t>CFA（Counterfactual Fit Advantage）</w:t>
      </w:r>
      <w:r>
        <w:rPr>
          <w:rFonts w:ascii="Calibri" w:hAnsi="Calibri" w:eastAsia="PingFang SC"/>
        </w:rPr>
        <w:t>大于 0 只说明用户—交付物评分矩阵呈现对角优势，即“两个用户各自更适合自己的版本”；它不解释模型为何做到，也不自动排除长度等 nuisance。另报告：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对同一潜在 user-state 的语义等价 signal views，不把稳定性压成一个可被平均掩盖的总分，而同时报告：</w:t>
      </w:r>
    </w:p>
    <w:p>
      <w:pPr>
        <w:pStyle w:val="ListBullet"/>
      </w:pPr>
      <w:r>
        <w:rPr>
          <w:rFonts w:ascii="Calibri" w:hAnsi="Calibri" w:eastAsia="PingFang SC"/>
          <w:b/>
        </w:rPr>
        <w:t>Worst-view CFA</w:t>
      </w:r>
      <w:r>
        <w:rPr>
          <w:rFonts w:ascii="Calibri" w:hAnsi="Calibri" w:eastAsia="PingFang SC"/>
        </w:rPr>
        <w:t>：所有 signal views 中 CFA 的最小值，防止只挑最容易的显式 persona 形式；</w:t>
      </w:r>
    </w:p>
    <w:p>
      <w:pPr>
        <w:pStyle w:val="ListBullet"/>
      </w:pPr>
      <w:r>
        <w:rPr>
          <w:rFonts w:ascii="Calibri" w:hAnsi="Calibri" w:eastAsia="PingFang SC"/>
          <w:b/>
        </w:rPr>
        <w:t>Cue Gap</w:t>
      </w:r>
      <w:r>
        <w:rPr>
          <w:rFonts w:ascii="Calibri" w:hAnsi="Calibri" w:eastAsia="PingFang SC"/>
        </w:rPr>
        <w:t>：最高 CFA 与最低 CFA 之差，衡量结论对表达渠道/措辞的敏感度；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：语义等价的结构化 persona 与自然对话历史之间的表现差；与 Cue Gap 分开报告，以区分渠道可用性和表面改写敏感性；</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Recovery Gain</w:t>
      </w:r>
      <w:r>
        <w:rPr>
          <w:rFonts w:ascii="Calibri" w:hAnsi="Calibri" w:eastAsia="PingFang SC"/>
        </w:rPr>
        <w:t>：干预后 NPF 减干预前 NPF；</w:t>
      </w:r>
    </w:p>
    <w:p>
      <w:pPr>
        <w:pStyle w:val="ListBullet"/>
      </w:pPr>
      <w:r>
        <w:rPr>
          <w:rFonts w:ascii="Calibri" w:hAnsi="Calibri" w:eastAsia="PingFang SC"/>
          <w:b/>
        </w:rPr>
        <w:t>Collateral Damage</w:t>
      </w:r>
      <w:r>
        <w:rPr>
          <w:rFonts w:ascii="Calibri" w:hAnsi="Calibri" w:eastAsia="PingFang SC"/>
        </w:rPr>
        <w:t>：恢复干预导致的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7.4 聚合与不确定性</w:t>
      </w:r>
    </w:p>
    <w:p>
      <w:r>
        <w:rPr>
          <w:rFonts w:ascii="Calibri" w:hAnsi="Calibri" w:eastAsia="PingFang SC"/>
        </w:rPr>
        <w:t>主结果按基础任务聚类 bootstrap 95% 置信区间；模型比较用交叉分类混合效应模型，至少包含 agent、用户信息渠道、干扰强度及其交互，基础任务和用户设随机截距。多重比较使用 Holm 校正。报告平均数、中位数、最差 10% CVaR、任务族/用户群/语言切片和 seed 方差，不只给一个总榜分。</w:t>
      </w:r>
    </w:p>
    <w:p>
      <w:pPr>
        <w:pStyle w:val="Heading1"/>
      </w:pPr>
      <w:r>
        <w:t>8. Judge 体系与独立 JudgeBench</w:t>
      </w:r>
    </w:p>
    <w:p>
      <w:pPr>
        <w:pStyle w:val="Heading2"/>
      </w:pPr>
      <w:r>
        <w:t>8.1 级联评估</w:t>
      </w:r>
    </w:p>
    <w:p>
      <w:pPr>
        <w:numPr>
          <w:ilvl w:val="0"/>
          <w:numId w:val="19"/>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19"/>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19"/>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19"/>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19"/>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，按 rubric module、任务意图、信号渠道和 agent 分层；其中至少一半来自真实模型输出，其余为长度变化、语气变化、位置交换、persona 关键词堆砌、事实更正但风格变差、隐私泄漏、正确弃权和引用不支持等对抗性改写。关键/争议单元由 3 名人类评分，其余先双标，分歧再仲裁；目标用户特异项必须包含该目标用户或其明确授权代理。600+ 单元留作后续稳定 scorer 的训练与发布版校准。</w:t>
      </w:r>
    </w:p>
    <w:p>
      <w:r>
        <w:rPr>
          <w:rFonts w:ascii="Calibri" w:hAnsi="Calibri" w:eastAsia="PingFang SC"/>
        </w:rPr>
        <w:t>Judge 上线门槛预注册为：pairwise accuracy ≥ 0.75；加权 κ 或 Krippendorff’s α ≥ 0.60；对位置交换的结论翻转率 ≤ 0.05；各用户群准确率差不超过 0.10；标量分校准误差和平均绝对误差优于简单基线。若任何关键切片不达标，主榜改用人评或只发布粗粒度二元指标，不允许用多 judge 投票掩盖共同偏差。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的训练单元不应只有“人工 0/1 标签 + GPT 生成理由”。建议至少包含：冻结 rubric 叶节点与评分锚点、人工 gold label、交付物 evidence span、错误类型、置信度/弃权，以及经抽检的解释。GPT 在已知 gold label 后生成的 reason 只是</w:t>
      </w:r>
      <w:r>
        <w:rPr>
          <w:rFonts w:ascii="Calibri" w:hAnsi="Calibri" w:eastAsia="PingFang SC"/>
          <w:b/>
        </w:rPr>
        <w:t>标签条件下的解释蒸馏</w:t>
      </w:r>
      <w:r>
        <w:rPr>
          <w:rFonts w:ascii="Calibri" w:hAnsi="Calibri" w:eastAsia="PingFang SC"/>
        </w:rPr>
        <w:t>，不是新的 ground truth；它可能形成流畅但不可验证的事后合理化。关键隐私项、硬门槛项和争议项需保留人写或人审理由。</w:t>
      </w:r>
    </w:p>
    <w:p>
      <w:r>
        <w:rPr>
          <w:rFonts w:ascii="Calibri" w:hAnsi="Calibri" w:eastAsia="PingFang SC"/>
        </w:rPr>
        <w:t xml:space="preserve">JudgeBench 同时比较三类系统：（a）强通用 prompted judge；（b）使用 </w:t>
      </w:r>
      <w:r>
        <w:rPr>
          <w:rFonts w:ascii="Courier New" w:hAnsi="Courier New" w:eastAsia="PingFang SC"/>
          <w:color w:val="6A3E00"/>
          <w:sz w:val="20"/>
        </w:rPr>
        <w:t>label + evidence + reason</w:t>
      </w:r>
      <w:r>
        <w:rPr>
          <w:rFonts w:ascii="Calibri" w:hAnsi="Calibri" w:eastAsia="PingFang SC"/>
        </w:rPr>
        <w:t xml:space="preserve"> 监督的 SFT leaf scorer；（c）两者的级联。训练、验证、测试必须按 task family、目标用户、被测 agent 与时间分组，禁止同一 counterfactual family 跨 split。除 accuracy、macro-F1 和 κ/α 外，还报告 Brier/ECE 校准、位置翻转率、长度/格式偏差、群体差距、弃权选择性风险、跨 family 与跨 agent 泛化、成本和延迟。</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hyperlink r:id="rId49">
        <w:r>
          <w:rPr>
            <w:rFonts w:ascii="Calibri" w:hAnsi="Calibri" w:eastAsia="PingFang SC"/>
            <w:color w:val="2E74B5"/>
            <w:u w:val="single"/>
          </w:rPr>
          <w:t>[16]</w:t>
        </w:r>
      </w:hyperlink>
    </w:p>
    <w:p>
      <w:r>
        <w:rPr>
          <w:rFonts w:ascii="Calibri" w:hAnsi="Calibri" w:eastAsia="PingFang SC"/>
        </w:rPr>
        <w:t>两个月主线部署为：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。只有在第 4 周前完成 240 个高质量判分单元且主实验流水线无阻塞时，才启动 SFT scorer；它默认只作为附录中的学习曲线和效率实验，不承担主榜。未来发布版可升级为 </w:t>
      </w:r>
      <w:r>
        <w:rPr>
          <w:rFonts w:ascii="Courier New" w:hAnsi="Courier New" w:eastAsia="PingFang SC"/>
          <w:color w:val="6A3E00"/>
          <w:sz w:val="20"/>
        </w:rPr>
        <w:t>verifier → SFT 高置信分流 → 强 judge 复核 → 人类仲裁</w:t>
      </w:r>
      <w:r>
        <w:rPr>
          <w:rFonts w:ascii="Calibri" w:hAnsi="Calibri" w:eastAsia="PingFang SC"/>
        </w:rPr>
        <w:t>。这避免让一个尚未验证泛化的 scorer 吞掉核心数据构建和论文写作时间。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rPr>
        <w:t>商业 Deep Research：ChatGPT Deep Research、Gemini Deep Research、Perplexity Deep Research 等；</w:t>
      </w:r>
    </w:p>
    <w:p>
      <w:pPr>
        <w:pStyle w:val="ListBullet"/>
      </w:pPr>
      <w:r>
        <w:rPr>
          <w:rFonts w:ascii="Calibri" w:hAnsi="Calibri" w:eastAsia="PingFang SC"/>
        </w:rPr>
        <w:t>通用模型 + 搜索：统一搜索 API 与预算的受控基线；</w:t>
      </w:r>
    </w:p>
    <w:p>
      <w:pPr>
        <w:pStyle w:val="ListBullet"/>
      </w:pPr>
      <w:r>
        <w:rPr>
          <w:rFonts w:ascii="Calibri" w:hAnsi="Calibri" w:eastAsia="PingFang SC"/>
        </w:rPr>
        <w:t>开源 Deep Research：Open Deep Research、DeerFlow 等可复现实装；</w:t>
      </w:r>
    </w:p>
    <w:p>
      <w:pPr>
        <w:pStyle w:val="ListBullet"/>
      </w:pPr>
      <w:r>
        <w:rPr>
          <w:rFonts w:ascii="Calibri" w:hAnsi="Calibri" w:eastAsia="PingFang SC"/>
        </w:rPr>
        <w:t>多 agent 系统：研究、证据核验、写作分工架构；</w:t>
      </w:r>
    </w:p>
    <w:p>
      <w:pPr>
        <w:pStyle w:val="ListBullet"/>
      </w:pPr>
      <w:r>
        <w:rPr>
          <w:rFonts w:ascii="Calibri" w:hAnsi="Calibri" w:eastAsia="PingFang SC"/>
        </w:rPr>
        <w:t>代码/生产型 agent：Codex、Claude Code（CC）、CodeBuddy 等，评估仓库调研、实现与说明书交付；</w:t>
      </w:r>
    </w:p>
    <w:p>
      <w:pPr>
        <w:pStyle w:val="ListBullet"/>
      </w:pPr>
      <w:r>
        <w:rPr>
          <w:rFonts w:ascii="Calibri" w:hAnsi="Calibri" w:eastAsia="PingFang SC"/>
        </w:rPr>
        <w:t>记忆/用户建模增强：无记忆、检索式记忆、结构化用户模型、动态更新模块。</w:t>
      </w: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0"/>
        </w:numPr>
        <w:spacing w:after="80" w:line="290" w:lineRule="auto"/>
        <w:ind w:left="540" w:hanging="279"/>
      </w:pPr>
      <w:r>
        <w:rPr>
          <w:rFonts w:ascii="Calibri" w:hAnsi="Calibri" w:eastAsia="PingFang SC"/>
        </w:rPr>
        <w:t>Task only；</w:t>
      </w:r>
    </w:p>
    <w:p>
      <w:pPr>
        <w:numPr>
          <w:ilvl w:val="0"/>
          <w:numId w:val="20"/>
        </w:numPr>
        <w:spacing w:after="80" w:line="290" w:lineRule="auto"/>
        <w:ind w:left="540" w:hanging="279"/>
      </w:pPr>
      <w:r>
        <w:rPr>
          <w:rFonts w:ascii="Calibri" w:hAnsi="Calibri" w:eastAsia="PingFang SC"/>
        </w:rPr>
        <w:t>Oracle structured persona；</w:t>
      </w:r>
    </w:p>
    <w:p>
      <w:pPr>
        <w:numPr>
          <w:ilvl w:val="0"/>
          <w:numId w:val="20"/>
        </w:numPr>
        <w:spacing w:after="80" w:line="290" w:lineRule="auto"/>
        <w:ind w:left="540" w:hanging="279"/>
      </w:pPr>
      <w:r>
        <w:rPr>
          <w:rFonts w:ascii="Calibri" w:hAnsi="Calibri" w:eastAsia="PingFang SC"/>
        </w:rPr>
        <w:t>语义等价的自然对话历史；</w:t>
      </w:r>
    </w:p>
    <w:p>
      <w:pPr>
        <w:numPr>
          <w:ilvl w:val="0"/>
          <w:numId w:val="20"/>
        </w:numPr>
        <w:spacing w:after="80" w:line="290" w:lineRule="auto"/>
        <w:ind w:left="540" w:hanging="279"/>
      </w:pPr>
      <w:r>
        <w:rPr>
          <w:rFonts w:ascii="Calibri" w:hAnsi="Calibri" w:eastAsia="PingFang SC"/>
        </w:rPr>
        <w:t>历史 + 检索式 memory；</w:t>
      </w:r>
    </w:p>
    <w:p>
      <w:pPr>
        <w:numPr>
          <w:ilvl w:val="0"/>
          <w:numId w:val="20"/>
        </w:numPr>
        <w:spacing w:after="80" w:line="290" w:lineRule="auto"/>
        <w:ind w:left="540" w:hanging="279"/>
      </w:pPr>
      <w:r>
        <w:rPr>
          <w:rFonts w:ascii="Calibri" w:hAnsi="Calibri" w:eastAsia="PingFang SC"/>
        </w:rPr>
        <w:t>主动澄清；</w:t>
      </w:r>
    </w:p>
    <w:p>
      <w:pPr>
        <w:numPr>
          <w:ilvl w:val="0"/>
          <w:numId w:val="20"/>
        </w:numPr>
        <w:spacing w:after="80" w:line="290" w:lineRule="auto"/>
        <w:ind w:left="540" w:hanging="279"/>
      </w:pPr>
      <w:r>
        <w:rPr>
          <w:rFonts w:ascii="Calibri" w:hAnsi="Calibri" w:eastAsia="PingFang SC"/>
        </w:rPr>
        <w:t>Persona shuffled（目标用户不变、只交换可见 signal bundle 的负对照）；</w:t>
      </w:r>
    </w:p>
    <w:p>
      <w:pPr>
        <w:numPr>
          <w:ilvl w:val="0"/>
          <w:numId w:val="20"/>
        </w:numPr>
        <w:spacing w:after="80" w:line="290" w:lineRule="auto"/>
        <w:ind w:left="540" w:hanging="279"/>
      </w:pPr>
      <w:r>
        <w:rPr>
          <w:rFonts w:ascii="Calibri" w:hAnsi="Calibri" w:eastAsia="PingFang SC"/>
        </w:rPr>
        <w:t>Irrelevant persona（无关属性，过度个性化探针）；</w:t>
      </w:r>
    </w:p>
    <w:p>
      <w:pPr>
        <w:numPr>
          <w:ilvl w:val="0"/>
          <w:numId w:val="20"/>
        </w:numPr>
        <w:spacing w:after="80" w:line="290" w:lineRule="auto"/>
        <w:ind w:left="540" w:hanging="279"/>
      </w:pPr>
      <w:r>
        <w:rPr>
          <w:rFonts w:ascii="Calibri" w:hAnsi="Calibri" w:eastAsia="PingFang SC"/>
        </w:rPr>
        <w:t>Contradictory/dated history（冲突与时效）；</w:t>
      </w:r>
    </w:p>
    <w:p>
      <w:pPr>
        <w:numPr>
          <w:ilvl w:val="0"/>
          <w:numId w:val="20"/>
        </w:numPr>
        <w:spacing w:after="80" w:line="290" w:lineRule="auto"/>
        <w:ind w:left="540" w:hanging="279"/>
      </w:pPr>
      <w:r>
        <w:rPr>
          <w:rFonts w:ascii="Calibri" w:hAnsi="Calibri" w:eastAsia="PingFang SC"/>
        </w:rPr>
        <w:t>Context dilution（不同长度和位置）；</w:t>
      </w:r>
    </w:p>
    <w:p>
      <w:pPr>
        <w:numPr>
          <w:ilvl w:val="0"/>
          <w:numId w:val="20"/>
        </w:numPr>
        <w:spacing w:after="80" w:line="290" w:lineRule="auto"/>
        <w:ind w:left="540" w:hanging="279"/>
      </w:pPr>
      <w:r>
        <w:rPr>
          <w:rFonts w:ascii="Calibri" w:hAnsi="Calibri" w:eastAsia="PingFang SC"/>
        </w:rPr>
        <w:t>Multi-agent handoff（含/不含用户模型交接）；</w:t>
      </w:r>
    </w:p>
    <w:p>
      <w:pPr>
        <w:numPr>
          <w:ilvl w:val="0"/>
          <w:numId w:val="20"/>
        </w:numPr>
        <w:spacing w:after="80" w:line="290" w:lineRule="auto"/>
        <w:ind w:left="540" w:hanging="279"/>
      </w:pPr>
      <w:r>
        <w:rPr>
          <w:rFonts w:ascii="Calibri" w:hAnsi="Calibri" w:eastAsia="PingFang SC"/>
        </w:rPr>
        <w:t>Re-anchor / pre-delivery checklist / verifier 修复（预注册配对子集，无论基线是否显式失败都运行）。</w:t>
      </w:r>
    </w:p>
    <w:p>
      <w:pPr>
        <w:pStyle w:val="Heading2"/>
      </w:pPr>
      <w:r>
        <w:t>9.3 两个月论文矩阵与扩展路线</w:t>
      </w:r>
    </w:p>
    <w:p>
      <w:r>
        <w:rPr>
          <w:rFonts w:ascii="Calibri" w:hAnsi="Calibri" w:eastAsia="PingFang SC"/>
          <w:b/>
        </w:rPr>
        <w:t>主论文（8 周）</w:t>
      </w:r>
      <w:r>
        <w:rPr>
          <w:rFonts w:ascii="Calibri" w:hAnsi="Calibri" w:eastAsia="PingFang SC"/>
        </w:rPr>
        <w:t>：24 个 family、每题 2 个强对比用户、4 个核心信号条件、3 类可比 agent，形成最多 576 个核心 episode；8 个 anchor family 再运行错配、无关、冲突/过期、长程稀释或动态更新中的预注册子集。主矩阵每格 1 seed，约 20% 分层样本做第二 seed，避免把全部预算花在重复而牺牲 family 覆盖。人评至少覆盖 20% 输出并对所有关键失败与 judge 分歧仲裁；其中所有 real-user-gold family 与不少于 8 个分层 family 必须收集目标用户 matched/swapped 盲评，不能用通用标注者代替。</w:t>
      </w:r>
    </w:p>
    <w:p>
      <w:r>
        <w:rPr>
          <w:rFonts w:ascii="Calibri" w:hAnsi="Calibri" w:eastAsia="PingFang SC"/>
        </w:rPr>
        <w:t xml:space="preserve">核心三类 agent 为：一个商业 Deep Research 产品、一个统一搜索/工具 harness 下的通用 agent、一个可复现开源 Deep Research agent。代码 agent、多 agent、记忆增强和第二个商业产品只在适用的 8 个 anchor family 上作为外部效度探针，不强迫所有系统运行不适合的任务。每个 agent-task 组合由 </w:t>
      </w:r>
      <w:r>
        <w:rPr>
          <w:rFonts w:ascii="Courier New" w:hAnsi="Courier New" w:eastAsia="PingFang SC"/>
          <w:color w:val="6A3E00"/>
          <w:sz w:val="20"/>
        </w:rPr>
        <w:t>eligibility_predicate</w:t>
      </w:r>
      <w:r>
        <w:rPr>
          <w:rFonts w:ascii="Calibri" w:hAnsi="Calibri" w:eastAsia="PingFang SC"/>
        </w:rPr>
        <w:t xml:space="preserve"> 预先声明；受控 harness 榜和端到端产品榜分开。</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1"/>
      </w:pPr>
      <w:r>
        <w:t>10. 平台实现方案</w:t>
      </w:r>
    </w:p>
    <w:p>
      <w:pPr>
        <w:pStyle w:val="Heading2"/>
      </w:pPr>
      <w:r>
        <w:t>10.1 Case schema</w:t>
      </w:r>
    </w:p>
    <w:p>
      <w:r>
        <w:rPr>
          <w:rFonts w:ascii="Calibri" w:hAnsi="Calibri" w:eastAsia="PingFang SC"/>
        </w:rPr>
        <w:t>每个 case 包含五组 Atlas 元数据：</w:t>
      </w:r>
      <w:r>
        <w:rPr>
          <w:rFonts w:ascii="Courier New" w:hAnsi="Courier New" w:eastAsia="PingFang SC"/>
          <w:color w:val="6A3E00"/>
          <w:sz w:val="20"/>
        </w:rPr>
        <w:t>task.*</w:t>
      </w:r>
      <w:r>
        <w:rPr>
          <w:rFonts w:ascii="Calibri" w:hAnsi="Calibri" w:eastAsia="PingFang SC"/>
        </w:rPr>
        <w:t>（stratum、intent、domain、deliverable、demand、stakes），</w:t>
      </w:r>
      <w:r>
        <w:rPr>
          <w:rFonts w:ascii="Courier New" w:hAnsi="Courier New" w:eastAsia="PingFang SC"/>
          <w:color w:val="6A3E00"/>
          <w:sz w:val="20"/>
        </w:rPr>
        <w:t>environment.*</w:t>
      </w:r>
      <w:r>
        <w:rPr>
          <w:rFonts w:ascii="Calibri" w:hAnsi="Calibri" w:eastAsia="PingFang SC"/>
        </w:rPr>
        <w:t>（evidence regime、freshness、tools、budget、permissions、interaction horizon），</w:t>
      </w:r>
      <w:r>
        <w:rPr>
          <w:rFonts w:ascii="Courier New" w:hAnsi="Courier New" w:eastAsia="PingFang SC"/>
          <w:color w:val="6A3E00"/>
          <w:sz w:val="20"/>
        </w:rPr>
        <w:t>user_state.*</w:t>
      </w:r>
      <w:r>
        <w:rPr>
          <w:rFonts w:ascii="Calibri" w:hAnsi="Calibri" w:eastAsia="PingFang SC"/>
        </w:rPr>
        <w:t>（goal、knowledge、constraints、preferences、risk、audience、permissions、dynamic state 与 provenance），</w:t>
      </w:r>
      <w:r>
        <w:rPr>
          <w:rFonts w:ascii="Courier New" w:hAnsi="Courier New" w:eastAsia="PingFang SC"/>
          <w:color w:val="6A3E00"/>
          <w:sz w:val="20"/>
        </w:rPr>
        <w:t>signal.*</w:t>
      </w:r>
      <w:r>
        <w:rPr>
          <w:rFonts w:ascii="Calibri" w:hAnsi="Calibri" w:eastAsia="PingFang SC"/>
        </w:rPr>
        <w:t>（channel、visibility、reliability、sensitivity、timestamp、conflict），</w:t>
      </w:r>
      <w:r>
        <w:rPr>
          <w:rFonts w:ascii="Courier New" w:hAnsi="Courier New" w:eastAsia="PingFang SC"/>
          <w:color w:val="6A3E00"/>
          <w:sz w:val="20"/>
        </w:rPr>
        <w:t>agent.*</w:t>
      </w:r>
      <w:r>
        <w:rPr>
          <w:rFonts w:ascii="Calibri" w:hAnsi="Calibri" w:eastAsia="PingFang SC"/>
        </w:rPr>
        <w:t xml:space="preserve">（system/version、search、memory、orchestration、tool access、budget）。实验层另存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模型运行后追加 artifact/trajectory 哈希、成本与时间戳、</w:t>
      </w:r>
      <w:r>
        <w:rPr>
          <w:rFonts w:ascii="Courier New" w:hAnsi="Courier New" w:eastAsia="PingFang SC"/>
          <w:color w:val="6A3E00"/>
          <w:sz w:val="20"/>
        </w:rPr>
        <w:t>observed_outcome_risks</w:t>
      </w:r>
      <w:r>
        <w:rPr>
          <w:rFonts w:ascii="Calibri" w:hAnsi="Calibri" w:eastAsia="PingFang SC"/>
        </w:rPr>
        <w:t>、实际错误 evidence span、judge 版本、分数与置信度。任务标签、预期失败和观察标签永不覆盖彼此。每次论文表格或 leaderboard 结果同时关联 benchmark metadata、model metadata 和 run metadata，避免把不同版本、工具与预算产生的分数误当成可直接比较的同一测量。</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 xml:space="preserve">先明确承认 PDR-Bench 的 P-Score 已按 task/persona 生成，且其人类校准包含同 query 的 agent-report pairwise 比较。DeepAlign 的独立增量不是“rubric 终于懂 persona”，而是：（1）同 task/evidence 下构造 </w:t>
      </w:r>
      <w:r>
        <w:rPr>
          <w:rFonts w:ascii="Courier New" w:hAnsi="Courier New" w:eastAsia="PingFang SC"/>
          <w:color w:val="6A3E00"/>
          <w:sz w:val="20"/>
        </w:rPr>
        <w:t>M[i,j] = PF_i(Y_j)</w:t>
      </w:r>
      <w:r>
        <w:rPr>
          <w:rFonts w:ascii="Calibri" w:hAnsi="Calibri" w:eastAsia="PingFang SC"/>
        </w:rPr>
        <w:t xml:space="preserve"> 的跨用户 2×2 评分矩阵，以 CFA 检查对角优势；（2）在输出前冻结 must-change/must-hold/must-not，分别检验必要变化、不变核心和禁止推断；（3）用语义等价 signal view 与无关 cue 干预区分用户语义利用和表面提示敏感性；（4）用双轴 taxonomy、长程算子和 JudgeBench 做失效诊断。任务、渠道和 agent 广度只支撑外部效度。</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把论文主张限定为“用户条件化结果价值/反事实特异性”，不声称识别内部认知机制。另做三类正交测试：同一 user-state 的 persona、自然历史、澄清对话和去关键词改写应保持 must-change 决策；仅改变无关人口属性或表面措辞时 must-hold 应稳定；改变任务相关约束且控制表述形式时才应触发定向变化。长度、位置、漂亮格式和关键词堆砌放入 JudgeBench，审计的是评委稳健性，而不是用来贬低 PDR-Bench 的 rubric。</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与上下文长度；若用户特异要求下降显著快于共同要求，且再锚定选择性恢复 PF 而非普遍提高 TQ，才支持漂移解释。</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schema、契约类型和校准程序，不假设所有模块天然等距。主结果以任务内 CFA、模块完成率和分层效应为主；跨模块总分只在共同 anchor 通过人类判定、区分力、invariance 与 judge 校准后报告。否则只展示 profile，不建立伪精确总体名次。</w:t>
      </w:r>
    </w:p>
    <w:p>
      <w:pPr>
        <w:pStyle w:val="Heading1"/>
      </w:pPr>
      <w:r>
        <w:t>12. 预期贡献、成功标准与发表边界</w:t>
      </w:r>
    </w:p>
    <w:p>
      <w:pPr>
        <w:pStyle w:val="Heading2"/>
      </w:pPr>
      <w:r>
        <w:t>12.1 预期贡献</w:t>
      </w:r>
    </w:p>
    <w:p>
      <w:pPr>
        <w:numPr>
          <w:ilvl w:val="0"/>
          <w:numId w:val="21"/>
        </w:numPr>
        <w:spacing w:after="80" w:line="290" w:lineRule="auto"/>
        <w:ind w:left="540" w:hanging="279"/>
      </w:pPr>
      <w:r>
        <w:rPr>
          <w:rFonts w:ascii="Calibri" w:hAnsi="Calibri" w:eastAsia="PingFang SC"/>
          <w:b/>
        </w:rPr>
        <w:t>Deep Research Evaluation Atlas</w:t>
      </w:r>
      <w:r>
        <w:rPr>
          <w:rFonts w:ascii="Calibri" w:hAnsi="Calibri" w:eastAsia="PingFang SC"/>
        </w:rPr>
        <w:t>：把 task、environment、task-conditioned user state、signal channel、agent system 和行为测试算子组成机器可读 ontology，并发布 coverage manifest；</w:t>
      </w:r>
    </w:p>
    <w:p>
      <w:pPr>
        <w:numPr>
          <w:ilvl w:val="0"/>
          <w:numId w:val="21"/>
        </w:numPr>
        <w:spacing w:after="80" w:line="290" w:lineRule="auto"/>
        <w:ind w:left="540" w:hanging="279"/>
      </w:pPr>
      <w:r>
        <w:rPr>
          <w:rFonts w:ascii="Calibri" w:hAnsi="Calibri" w:eastAsia="PingFang SC"/>
        </w:rPr>
        <w:t>以反事实任务族识别 Deep Research 最终交付物个性化，而不是把 persona 条件下的高分直接解释成适配；</w:t>
      </w:r>
    </w:p>
    <w:p>
      <w:pPr>
        <w:numPr>
          <w:ilvl w:val="0"/>
          <w:numId w:val="21"/>
        </w:numPr>
        <w:spacing w:after="80" w:line="290" w:lineRule="auto"/>
        <w:ind w:left="540" w:hanging="279"/>
      </w:pPr>
      <w:r>
        <w:rPr>
          <w:rFonts w:ascii="Calibri" w:hAnsi="Calibri" w:eastAsia="PingFang SC"/>
        </w:rPr>
        <w:t>用于覆盖的 task cube，以及预先冻结且区分 expected/observed 的“结果风险 × 失败模式”双轴 taxonomy；</w:t>
      </w:r>
    </w:p>
    <w:p>
      <w:pPr>
        <w:numPr>
          <w:ilvl w:val="0"/>
          <w:numId w:val="21"/>
        </w:numPr>
        <w:spacing w:after="80" w:line="290" w:lineRule="auto"/>
        <w:ind w:left="540" w:hanging="279"/>
      </w:pPr>
      <w:r>
        <w:rPr>
          <w:rFonts w:ascii="Calibri" w:hAnsi="Calibri" w:eastAsia="PingFang SC"/>
        </w:rPr>
        <w:t>由元数据编译、统一 schema、含适用条件与四类 evaluation contract 的模块化 rubric bank；</w:t>
      </w:r>
    </w:p>
    <w:p>
      <w:pPr>
        <w:numPr>
          <w:ilvl w:val="0"/>
          <w:numId w:val="21"/>
        </w:numPr>
        <w:spacing w:after="80" w:line="290" w:lineRule="auto"/>
        <w:ind w:left="540" w:hanging="279"/>
      </w:pPr>
      <w:r>
        <w:rPr>
          <w:rFonts w:ascii="Calibri" w:hAnsi="Calibri" w:eastAsia="PingFang SC"/>
        </w:rPr>
        <w:t>独立 JudgeBench 与强通用 judge—人类校准主线，SFT scorer 作为条件性效率扩展；</w:t>
      </w:r>
    </w:p>
    <w:p>
      <w:pPr>
        <w:numPr>
          <w:ilvl w:val="0"/>
          <w:numId w:val="21"/>
        </w:numPr>
        <w:spacing w:after="80" w:line="290" w:lineRule="auto"/>
        <w:ind w:left="540" w:hanging="279"/>
      </w:pPr>
      <w:r>
        <w:rPr>
          <w:rFonts w:ascii="Calibri" w:hAnsi="Calibri" w:eastAsia="PingFang SC"/>
        </w:rPr>
        <w:t>可复现 frozen core、有限 live/longitudinal anchor 和可扩展工程 harness。</w:t>
      </w:r>
    </w:p>
    <w:p>
      <w:pPr>
        <w:pStyle w:val="Heading2"/>
      </w:pPr>
      <w:r>
        <w:t>12.2 Go / No-Go 门槛</w:t>
      </w:r>
    </w:p>
    <w:p>
      <w:pPr>
        <w:pStyle w:val="ListBullet"/>
      </w:pPr>
      <w:r>
        <w:rPr>
          <w:rFonts w:ascii="Calibri" w:hAnsi="Calibri" w:eastAsia="PingFang SC"/>
        </w:rPr>
        <w:t>至少 80% pilot task family 的目标用户认为用户间存在实质性交付差异；</w:t>
      </w:r>
    </w:p>
    <w:p>
      <w:pPr>
        <w:pStyle w:val="ListBullet"/>
      </w:pPr>
      <w:r>
        <w:rPr>
          <w:rFonts w:ascii="Calibri" w:hAnsi="Calibri" w:eastAsia="PingFang SC"/>
        </w:rPr>
        <w:t>rubric 原子项人类一致性 α ≥ 0.67，关键硬门槛项 α ≥ 0.80；</w:t>
      </w:r>
    </w:p>
    <w:p>
      <w:pPr>
        <w:pStyle w:val="ListBullet"/>
      </w:pPr>
      <w:r>
        <w:rPr>
          <w:rFonts w:ascii="Calibri" w:hAnsi="Calibri" w:eastAsia="PingFang SC"/>
        </w:rPr>
        <w:t>matched 人类参考交付物相对 swapped 的 CFA 显著大于 0，且效应不是由长度解释；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每个进入主实验的 rubric module 至少通过 schema coverage、matched-swapped discrimination、cue-equivalence robustness 和无关信息 invariance 四项中的适用检查；</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至少两类 agent 在 PF 上出现与 TQ 不同的可诊断变化，证明 benchmark 不是普通质量榜的重命名。</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Atlas v1、coverage manifest、case/rubric schema、24 个 family 配额</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论文骨架、Introduction 问题定义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ontology 是否可标、范围是否可运行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24 个 family 草案、48 个 task-conditioned user state、persona compatibility gate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 初稿、标注手册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80% family 有稳定 must-change 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冻结证据包、四类 contract 和 rubric modules；小样本人评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matched/swapped 是否可区分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JudgeBench 240 单元、强 judge 基线、6 个 family dry run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Related Work、Methods 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 与流水线是否过门槛；否则缩成纯人评</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完成三类核心 agent 的主矩阵运行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设置、预注册分析脚本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运行失败率与成本是否可控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anchor 压力测试、20% 人评、错误 open coding 与仲裁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是否存在独立于 TQ 的个性化信号</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混合效应/Bootstrap、鲁棒性与覆盖审计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主张是否被数据支持；删去未支持支线</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硬性取舍：第 2 周末冻结 ontology v1，第 3 周末冻结主 rubric，第 4 周末冻结主实验；SFT scorer、完整 live leaderboard、代码 agent 全覆盖和 120-task 扩表均不能阻塞论文。成本分为目标用户/专家、人评、商业 agent、搜索抓取、存储和隐私审计，并在第 1 周建立 episode 上限。</w:t>
      </w:r>
    </w:p>
    <w:p>
      <w:pPr>
        <w:pStyle w:val="Heading1"/>
      </w:pPr>
      <w:r>
        <w:t>14. 建议的论文结构（仿 Agent-SafetyBench 的信息组织，但突出差异）</w:t>
      </w:r>
    </w:p>
    <w:p>
      <w:pPr>
        <w:numPr>
          <w:ilvl w:val="0"/>
          <w:numId w:val="22"/>
        </w:numPr>
        <w:spacing w:after="80" w:line="290" w:lineRule="auto"/>
        <w:ind w:left="540" w:hanging="279"/>
      </w:pPr>
      <w:r>
        <w:rPr>
          <w:rFonts w:ascii="Calibri" w:hAnsi="Calibri" w:eastAsia="PingFang SC"/>
          <w:b/>
        </w:rPr>
        <w:t>Introduction</w:t>
      </w:r>
      <w:r>
        <w:rPr>
          <w:rFonts w:ascii="Calibri" w:hAnsi="Calibri" w:eastAsia="PingFang SC"/>
        </w:rPr>
        <w:t>：通用 DR 测“好不好”，PDR-Bench 已测单用户绝对适配；本文提出跨用户反事实特异性、跨 cue 稳健性与诊断协议。</w:t>
      </w:r>
    </w:p>
    <w:p>
      <w:pPr>
        <w:numPr>
          <w:ilvl w:val="0"/>
          <w:numId w:val="22"/>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2"/>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2"/>
        </w:numPr>
        <w:spacing w:after="80" w:line="290" w:lineRule="auto"/>
        <w:ind w:left="540" w:hanging="279"/>
      </w:pPr>
      <w:r>
        <w:rPr>
          <w:rFonts w:ascii="Calibri" w:hAnsi="Calibri" w:eastAsia="PingFang SC"/>
          <w:b/>
        </w:rPr>
        <w:t>Evaluation Framework</w:t>
      </w:r>
      <w:r>
        <w:rPr>
          <w:rFonts w:ascii="Calibri" w:hAnsi="Calibri" w:eastAsia="PingFang SC"/>
        </w:rPr>
        <w:t>：metadata-driven rubric compiler、四类 evaluation contract、CFA/NPF/Retention/Recovery、强 judge—人类校准与 JudgeBench。</w:t>
      </w:r>
    </w:p>
    <w:p>
      <w:pPr>
        <w:numPr>
          <w:ilvl w:val="0"/>
          <w:numId w:val="22"/>
        </w:numPr>
        <w:spacing w:after="80" w:line="290" w:lineRule="auto"/>
        <w:ind w:left="540" w:hanging="279"/>
      </w:pPr>
      <w:r>
        <w:rPr>
          <w:rFonts w:ascii="Calibri" w:hAnsi="Calibri" w:eastAsia="PingFang SC"/>
          <w:b/>
        </w:rPr>
        <w:t>Experiments</w:t>
      </w:r>
      <w:r>
        <w:rPr>
          <w:rFonts w:ascii="Calibri" w:hAnsi="Calibri" w:eastAsia="PingFang SC"/>
        </w:rPr>
        <w:t>：agent 分层、信息条件、长程干扰、恢复干预、成本和统计协议。</w:t>
      </w:r>
    </w:p>
    <w:p>
      <w:pPr>
        <w:numPr>
          <w:ilvl w:val="0"/>
          <w:numId w:val="22"/>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2"/>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2"/>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2"/>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：24 个 counterfactual family、48 个强对比 user-task；18 个 family 覆盖任务立方体，6 个负责关键单元复测；8 个 anchor family 承担错配、无关、冲突/过期、长程和动态更新测试。</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w:t>
      </w:r>
      <w:r>
        <w:rPr>
          <w:rFonts w:ascii="Calibri" w:hAnsi="Calibri" w:eastAsia="PingFang SC"/>
        </w:rPr>
        <w:t>：一个商业 Deep Research、一个统一 harness agent、一个开源 agent 全量运行；代码、多 agent、memory-enhanced 系统仅作为 anchor probe，并通过 eligibility predicate 保证任务适配。</w:t>
      </w:r>
    </w:p>
    <w:p>
      <w:r>
        <w:rPr>
          <w:rFonts w:ascii="Calibri" w:hAnsi="Calibri" w:eastAsia="PingFang SC"/>
          <w:b/>
        </w:rPr>
        <w:t>评价</w:t>
      </w:r>
      <w:r>
        <w:rPr>
          <w:rFonts w:ascii="Calibri" w:hAnsi="Calibri" w:eastAsia="PingFang SC"/>
        </w:rPr>
        <w:t>：metadata-driven rubric compiler 组合 core、personalization、intent、deliverable、operator 和 risk 模块；每个 case 冻结 must-change、must-hold、must-not、clarify-if-unknown。主指标为 TQ/FR 门槛、PF/MP、CFA、人类 pairwise preference；failure taxonomy 用于解释，不进入总分。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：首版证明的是 ontology 可运行、反事实个性化可测、不同信号渠道和 agent 会产生可诊断差异；不声称穷尽所有 DR 模式，也不对 18 个 task-cube 单元分别建立稳定排行榜。宏大性体现在 Atlas、coverage manifest、rubric compiler 和可扩展协议，而不是虚假的全覆盖。</w:t>
      </w:r>
    </w:p>
    <w:p>
      <w:pPr>
        <w:pStyle w:val="Heading1"/>
      </w:pPr>
      <w:r>
        <w:t>参考文献</w:t>
      </w:r>
    </w:p>
    <w:p>
      <w:pPr>
        <w:spacing w:after="80" w:line="264" w:lineRule="auto"/>
        <w:ind w:left="360" w:hanging="360"/>
      </w:pPr>
      <w:r>
        <w:rPr>
          <w:rFonts w:ascii="Calibri" w:hAnsi="Calibri" w:eastAsia="PingFang SC"/>
          <w:sz w:val="19"/>
        </w:rPr>
        <w:t xml:space="preserve">[1] OpenCompass Team. </w:t>
      </w:r>
      <w:r>
        <w:rPr>
          <w:rFonts w:ascii="Calibri" w:hAnsi="Calibri" w:eastAsia="PingFang SC"/>
          <w:i/>
          <w:sz w:val="19"/>
        </w:rPr>
        <w:t>OpenCompass: A Universal Evaluation Platform for Large Language Models</w:t>
      </w:r>
      <w:r>
        <w:rPr>
          <w:rFonts w:ascii="Calibri" w:hAnsi="Calibri" w:eastAsia="PingFang SC"/>
          <w:sz w:val="19"/>
        </w:rPr>
        <w:t xml:space="preserve">. arXiv:2605.19276, 2026. </w:t>
      </w:r>
      <w:hyperlink r:id="rId33">
        <w:r>
          <w:rPr>
            <w:rFonts w:ascii="Calibri" w:hAnsi="Calibri" w:eastAsia="PingFang SC"/>
            <w:color w:val="2E74B5"/>
            <w:u w:val="single"/>
            <w:sz w:val="19"/>
            <w:szCs w:val="19"/>
          </w:rPr>
          <w:t>https://arxiv.org/abs/2605.19276</w:t>
        </w:r>
      </w:hyperlink>
    </w:p>
    <w:p>
      <w:pPr>
        <w:spacing w:after="80" w:line="264" w:lineRule="auto"/>
        <w:ind w:left="360" w:hanging="360"/>
      </w:pPr>
      <w:r>
        <w:rPr>
          <w:rFonts w:ascii="Calibri" w:hAnsi="Calibri" w:eastAsia="PingFang SC"/>
          <w:sz w:val="19"/>
        </w:rPr>
        <w:t xml:space="preserve">[2] ModelScope. </w:t>
      </w:r>
      <w:r>
        <w:rPr>
          <w:rFonts w:ascii="Calibri" w:hAnsi="Calibri" w:eastAsia="PingFang SC"/>
          <w:i/>
          <w:sz w:val="19"/>
        </w:rPr>
        <w:t>EvalScope Introduction</w:t>
      </w:r>
      <w:r>
        <w:rPr>
          <w:rFonts w:ascii="Calibri" w:hAnsi="Calibri" w:eastAsia="PingFang SC"/>
          <w:sz w:val="19"/>
        </w:rPr>
        <w:t xml:space="preserve">. </w:t>
      </w:r>
      <w:hyperlink r:id="rId34">
        <w:r>
          <w:rPr>
            <w:rFonts w:ascii="Calibri" w:hAnsi="Calibri" w:eastAsia="PingFang SC"/>
            <w:color w:val="2E74B5"/>
            <w:u w:val="single"/>
            <w:sz w:val="19"/>
            <w:szCs w:val="19"/>
          </w:rPr>
          <w:t>https://evalscope.readthedocs.io/en/refact_readme/get_started/introduction.html</w:t>
        </w:r>
      </w:hyperlink>
    </w:p>
    <w:p>
      <w:pPr>
        <w:spacing w:after="80" w:line="264" w:lineRule="auto"/>
        <w:ind w:left="360" w:hanging="360"/>
      </w:pPr>
      <w:r>
        <w:rPr>
          <w:rFonts w:ascii="Calibri" w:hAnsi="Calibri" w:eastAsia="PingFang SC"/>
          <w:sz w:val="19"/>
        </w:rPr>
        <w:t xml:space="preserve">[3] Zhang et al. </w:t>
      </w:r>
      <w:r>
        <w:rPr>
          <w:rFonts w:ascii="Calibri" w:hAnsi="Calibri" w:eastAsia="PingFang SC"/>
          <w:i/>
          <w:sz w:val="19"/>
        </w:rPr>
        <w:t>Agent-SafetyBench: Evaluating the Safety of LLM Agents</w:t>
      </w:r>
      <w:r>
        <w:rPr>
          <w:rFonts w:ascii="Calibri" w:hAnsi="Calibri" w:eastAsia="PingFang SC"/>
          <w:sz w:val="19"/>
        </w:rPr>
        <w:t xml:space="preserve">. arXiv:2412.14470, 2024/2025. </w:t>
      </w:r>
      <w:hyperlink r:id="rId35">
        <w:r>
          <w:rPr>
            <w:rFonts w:ascii="Calibri" w:hAnsi="Calibri" w:eastAsia="PingFang SC"/>
            <w:color w:val="2E74B5"/>
            <w:u w:val="single"/>
            <w:sz w:val="19"/>
            <w:szCs w:val="19"/>
          </w:rPr>
          <w:t>https://arxiv.org/abs/2412.14470</w:t>
        </w:r>
      </w:hyperlink>
    </w:p>
    <w:p>
      <w:pPr>
        <w:spacing w:after="80" w:line="264" w:lineRule="auto"/>
        <w:ind w:left="360" w:hanging="360"/>
      </w:pPr>
      <w:r>
        <w:rPr>
          <w:rFonts w:ascii="Calibri" w:hAnsi="Calibri" w:eastAsia="PingFang SC"/>
          <w:sz w:val="19"/>
        </w:rPr>
        <w:t xml:space="preserve">[4] </w:t>
      </w:r>
      <w:r>
        <w:rPr>
          <w:rFonts w:ascii="Calibri" w:hAnsi="Calibri" w:eastAsia="PingFang SC"/>
          <w:i/>
          <w:sz w:val="19"/>
        </w:rPr>
        <w:t>Towards Personalized Deep Research: Benchmarks and Evaluations</w:t>
      </w:r>
      <w:r>
        <w:rPr>
          <w:rFonts w:ascii="Calibri" w:hAnsi="Calibri" w:eastAsia="PingFang SC"/>
          <w:sz w:val="19"/>
        </w:rPr>
        <w:t xml:space="preserve">. arXiv:2509.25106; ICLR 2026. </w:t>
      </w:r>
      <w:hyperlink r:id="rId25">
        <w:r>
          <w:rPr>
            <w:rFonts w:ascii="Calibri" w:hAnsi="Calibri" w:eastAsia="PingFang SC"/>
            <w:color w:val="2E74B5"/>
            <w:u w:val="single"/>
            <w:sz w:val="19"/>
            <w:szCs w:val="19"/>
          </w:rPr>
          <w:t>https://arxiv.org/abs/2509.25106</w:t>
        </w:r>
      </w:hyperlink>
    </w:p>
    <w:p>
      <w:pPr>
        <w:spacing w:after="80" w:line="264" w:lineRule="auto"/>
        <w:ind w:left="360" w:hanging="360"/>
      </w:pPr>
      <w:r>
        <w:rPr>
          <w:rFonts w:ascii="Calibri" w:hAnsi="Calibri" w:eastAsia="PingFang SC"/>
          <w:sz w:val="19"/>
        </w:rPr>
        <w:t xml:space="preserve">[5] Mind Lab. </w:t>
      </w:r>
      <w:r>
        <w:rPr>
          <w:rFonts w:ascii="Calibri" w:hAnsi="Calibri" w:eastAsia="PingFang SC"/>
          <w:i/>
          <w:sz w:val="19"/>
        </w:rPr>
        <w:t>Macaron-V1-Preview: LivingBench</w:t>
      </w:r>
      <w:r>
        <w:rPr>
          <w:rFonts w:ascii="Calibri" w:hAnsi="Calibri" w:eastAsia="PingFang SC"/>
          <w:sz w:val="19"/>
        </w:rPr>
        <w:t xml:space="preserve">. </w:t>
      </w:r>
      <w:hyperlink r:id="rId38">
        <w:r>
          <w:rPr>
            <w:rFonts w:ascii="Calibri" w:hAnsi="Calibri" w:eastAsia="PingFang SC"/>
            <w:color w:val="2E74B5"/>
            <w:u w:val="single"/>
            <w:sz w:val="19"/>
            <w:szCs w:val="19"/>
          </w:rPr>
          <w:t>https://macaron.im/mindlab/research/macaron-v1-preview</w:t>
        </w:r>
      </w:hyperlink>
    </w:p>
    <w:p>
      <w:pPr>
        <w:spacing w:after="80" w:line="264" w:lineRule="auto"/>
        <w:ind w:left="360" w:hanging="360"/>
      </w:pPr>
      <w:r>
        <w:rPr>
          <w:rFonts w:ascii="Calibri" w:hAnsi="Calibri" w:eastAsia="PingFang SC"/>
          <w:sz w:val="19"/>
        </w:rPr>
        <w:t xml:space="preserve">[6] Du et al. </w:t>
      </w:r>
      <w:r>
        <w:rPr>
          <w:rFonts w:ascii="Calibri" w:hAnsi="Calibri" w:eastAsia="PingFang SC"/>
          <w:i/>
          <w:sz w:val="19"/>
        </w:rPr>
        <w:t>DeepResearch Bench: A Comprehensive Benchmark for Deep Research Agents</w:t>
      </w:r>
      <w:r>
        <w:rPr>
          <w:rFonts w:ascii="Calibri" w:hAnsi="Calibri" w:eastAsia="PingFang SC"/>
          <w:sz w:val="19"/>
        </w:rPr>
        <w:t xml:space="preserve">. arXiv:2506.11763. </w:t>
      </w:r>
      <w:hyperlink r:id="rId39">
        <w:r>
          <w:rPr>
            <w:rFonts w:ascii="Calibri" w:hAnsi="Calibri" w:eastAsia="PingFang SC"/>
            <w:color w:val="2E74B5"/>
            <w:u w:val="single"/>
            <w:sz w:val="19"/>
            <w:szCs w:val="19"/>
          </w:rPr>
          <w:t>https://arxiv.org/abs/2506.11763</w:t>
        </w:r>
      </w:hyperlink>
    </w:p>
    <w:p>
      <w:pPr>
        <w:spacing w:after="80" w:line="264" w:lineRule="auto"/>
        <w:ind w:left="360" w:hanging="360"/>
      </w:pPr>
      <w:r>
        <w:rPr>
          <w:rFonts w:ascii="Calibri" w:hAnsi="Calibri" w:eastAsia="PingFang SC"/>
          <w:sz w:val="19"/>
        </w:rPr>
        <w:t xml:space="preserve">[7] Gou et al. </w:t>
      </w:r>
      <w:r>
        <w:rPr>
          <w:rFonts w:ascii="Calibri" w:hAnsi="Calibri" w:eastAsia="PingFang SC"/>
          <w:i/>
          <w:sz w:val="19"/>
        </w:rPr>
        <w:t>Mind2Web 2: Evaluating Agentic Search with Agent-as-a-Judge</w:t>
      </w:r>
      <w:r>
        <w:rPr>
          <w:rFonts w:ascii="Calibri" w:hAnsi="Calibri" w:eastAsia="PingFang SC"/>
          <w:sz w:val="19"/>
        </w:rPr>
        <w:t xml:space="preserve">. arXiv:2506.21506. </w:t>
      </w:r>
      <w:hyperlink r:id="rId40">
        <w:r>
          <w:rPr>
            <w:rFonts w:ascii="Calibri" w:hAnsi="Calibri" w:eastAsia="PingFang SC"/>
            <w:color w:val="2E74B5"/>
            <w:u w:val="single"/>
            <w:sz w:val="19"/>
            <w:szCs w:val="19"/>
          </w:rPr>
          <w:t>https://arxiv.org/abs/2506.21506</w:t>
        </w:r>
      </w:hyperlink>
    </w:p>
    <w:p>
      <w:pPr>
        <w:spacing w:after="80" w:line="264" w:lineRule="auto"/>
        <w:ind w:left="360" w:hanging="360"/>
      </w:pPr>
      <w:r>
        <w:rPr>
          <w:rFonts w:ascii="Calibri" w:hAnsi="Calibri" w:eastAsia="PingFang SC"/>
          <w:sz w:val="19"/>
        </w:rPr>
        <w:t xml:space="preserve">[8] Chen et al. </w:t>
      </w:r>
      <w:r>
        <w:rPr>
          <w:rFonts w:ascii="Calibri" w:hAnsi="Calibri" w:eastAsia="PingFang SC"/>
          <w:i/>
          <w:sz w:val="19"/>
        </w:rPr>
        <w:t>BrowseComp-Plus: A More Fair and Transparent Evaluation Benchmark of Deep-Research Agent</w:t>
      </w:r>
      <w:r>
        <w:rPr>
          <w:rFonts w:ascii="Calibri" w:hAnsi="Calibri" w:eastAsia="PingFang SC"/>
          <w:sz w:val="19"/>
        </w:rPr>
        <w:t xml:space="preserve">. arXiv:2508.06600. </w:t>
      </w:r>
      <w:hyperlink r:id="rId41">
        <w:r>
          <w:rPr>
            <w:rFonts w:ascii="Calibri" w:hAnsi="Calibri" w:eastAsia="PingFang SC"/>
            <w:color w:val="2E74B5"/>
            <w:u w:val="single"/>
            <w:sz w:val="19"/>
            <w:szCs w:val="19"/>
          </w:rPr>
          <w:t>https://arxiv.org/abs/2508.06600</w:t>
        </w:r>
      </w:hyperlink>
    </w:p>
    <w:p>
      <w:pPr>
        <w:spacing w:after="80" w:line="264" w:lineRule="auto"/>
        <w:ind w:left="360" w:hanging="360"/>
      </w:pPr>
      <w:r>
        <w:rPr>
          <w:rFonts w:ascii="Calibri" w:hAnsi="Calibri" w:eastAsia="PingFang SC"/>
          <w:sz w:val="19"/>
        </w:rPr>
        <w:t xml:space="preserve">[9] Starace et al. </w:t>
      </w:r>
      <w:r>
        <w:rPr>
          <w:rFonts w:ascii="Calibri" w:hAnsi="Calibri" w:eastAsia="PingFang SC"/>
          <w:i/>
          <w:sz w:val="19"/>
        </w:rPr>
        <w:t>PaperBench: Evaluating AI’s Ability to Replicate AI Research</w:t>
      </w:r>
      <w:r>
        <w:rPr>
          <w:rFonts w:ascii="Calibri" w:hAnsi="Calibri" w:eastAsia="PingFang SC"/>
          <w:sz w:val="19"/>
        </w:rPr>
        <w:t xml:space="preserve">. OpenAI, 2025. </w:t>
      </w:r>
      <w:hyperlink r:id="rId42">
        <w:r>
          <w:rPr>
            <w:rFonts w:ascii="Calibri" w:hAnsi="Calibri" w:eastAsia="PingFang SC"/>
            <w:color w:val="2E74B5"/>
            <w:u w:val="single"/>
            <w:sz w:val="19"/>
            <w:szCs w:val="19"/>
          </w:rPr>
          <w:t>https://openai.com/index/paperbench/</w:t>
        </w:r>
      </w:hyperlink>
    </w:p>
    <w:p>
      <w:pPr>
        <w:spacing w:after="80" w:line="264" w:lineRule="auto"/>
        <w:ind w:left="360" w:hanging="360"/>
      </w:pPr>
      <w:r>
        <w:rPr>
          <w:rFonts w:ascii="Calibri" w:hAnsi="Calibri" w:eastAsia="PingFang SC"/>
          <w:sz w:val="19"/>
        </w:rPr>
        <w:t xml:space="preserve">[10] Wang et al. </w:t>
      </w:r>
      <w:r>
        <w:rPr>
          <w:rFonts w:ascii="Calibri" w:hAnsi="Calibri" w:eastAsia="PingFang SC"/>
          <w:i/>
          <w:sz w:val="19"/>
        </w:rPr>
        <w:t>LiveResearchBench: A Live Benchmark for User-Centric Deep Research in the Wild</w:t>
      </w:r>
      <w:r>
        <w:rPr>
          <w:rFonts w:ascii="Calibri" w:hAnsi="Calibri" w:eastAsia="PingFang SC"/>
          <w:sz w:val="19"/>
        </w:rPr>
        <w:t xml:space="preserve">. </w:t>
      </w:r>
      <w:hyperlink r:id="rId43">
        <w:r>
          <w:rPr>
            <w:rFonts w:ascii="Calibri" w:hAnsi="Calibri" w:eastAsia="PingFang SC"/>
            <w:color w:val="2E74B5"/>
            <w:u w:val="single"/>
            <w:sz w:val="19"/>
            <w:szCs w:val="19"/>
          </w:rPr>
          <w:t>https://livedeepresearch.github.io/</w:t>
        </w:r>
      </w:hyperlink>
    </w:p>
    <w:p>
      <w:pPr>
        <w:spacing w:after="80" w:line="264" w:lineRule="auto"/>
        <w:ind w:left="360" w:hanging="360"/>
      </w:pPr>
      <w:r>
        <w:rPr>
          <w:rFonts w:ascii="Calibri" w:hAnsi="Calibri" w:eastAsia="PingFang SC"/>
          <w:sz w:val="19"/>
        </w:rPr>
        <w:t xml:space="preserve">[11] Coelho et al. </w:t>
      </w:r>
      <w:r>
        <w:rPr>
          <w:rFonts w:ascii="Calibri" w:hAnsi="Calibri" w:eastAsia="PingFang SC"/>
          <w:i/>
          <w:sz w:val="19"/>
        </w:rPr>
        <w:t>DeepResearchGym: A Free, Transparent, and Reproducible Evaluation Sandbox for Deep Research</w:t>
      </w:r>
      <w:r>
        <w:rPr>
          <w:rFonts w:ascii="Calibri" w:hAnsi="Calibri" w:eastAsia="PingFang SC"/>
          <w:sz w:val="19"/>
        </w:rPr>
        <w:t xml:space="preserve">. arXiv:2505.19253. </w:t>
      </w:r>
      <w:hyperlink r:id="rId44">
        <w:r>
          <w:rPr>
            <w:rFonts w:ascii="Calibri" w:hAnsi="Calibri" w:eastAsia="PingFang SC"/>
            <w:color w:val="2E74B5"/>
            <w:u w:val="single"/>
            <w:sz w:val="19"/>
            <w:szCs w:val="19"/>
          </w:rPr>
          <w:t>https://arxiv.org/abs/2505.19253</w:t>
        </w:r>
      </w:hyperlink>
    </w:p>
    <w:p>
      <w:pPr>
        <w:spacing w:after="80" w:line="264" w:lineRule="auto"/>
        <w:ind w:left="360" w:hanging="360"/>
      </w:pPr>
      <w:r>
        <w:rPr>
          <w:rFonts w:ascii="Calibri" w:hAnsi="Calibri" w:eastAsia="PingFang SC"/>
          <w:sz w:val="19"/>
        </w:rPr>
        <w:t xml:space="preserve">[12] Abaskohi et al. </w:t>
      </w:r>
      <w:r>
        <w:rPr>
          <w:rFonts w:ascii="Calibri" w:hAnsi="Calibri" w:eastAsia="PingFang SC"/>
          <w:i/>
          <w:sz w:val="19"/>
        </w:rPr>
        <w:t>DRBench: A Realistic Benchmark for Enterprise Deep Research</w:t>
      </w:r>
      <w:r>
        <w:rPr>
          <w:rFonts w:ascii="Calibri" w:hAnsi="Calibri" w:eastAsia="PingFang SC"/>
          <w:sz w:val="19"/>
        </w:rPr>
        <w:t xml:space="preserve">. arXiv:2510.00172; ICLR 2026. </w:t>
      </w:r>
      <w:hyperlink r:id="rId45">
        <w:r>
          <w:rPr>
            <w:rFonts w:ascii="Calibri" w:hAnsi="Calibri" w:eastAsia="PingFang SC"/>
            <w:color w:val="2E74B5"/>
            <w:u w:val="single"/>
            <w:sz w:val="19"/>
            <w:szCs w:val="19"/>
          </w:rPr>
          <w:t>https://arxiv.org/abs/2510.00172</w:t>
        </w:r>
      </w:hyperlink>
    </w:p>
    <w:p>
      <w:pPr>
        <w:spacing w:after="80" w:line="264" w:lineRule="auto"/>
        <w:ind w:left="360" w:hanging="360"/>
      </w:pPr>
      <w:r>
        <w:rPr>
          <w:rFonts w:ascii="Calibri" w:hAnsi="Calibri" w:eastAsia="PingFang SC"/>
          <w:sz w:val="19"/>
        </w:rPr>
        <w:t xml:space="preserve">[13] White et al. </w:t>
      </w:r>
      <w:r>
        <w:rPr>
          <w:rFonts w:ascii="Calibri" w:hAnsi="Calibri" w:eastAsia="PingFang SC"/>
          <w:i/>
          <w:sz w:val="19"/>
        </w:rPr>
        <w:t>LiveBench: A Challenging, Contamination-Free LLM Benchmark</w:t>
      </w:r>
      <w:r>
        <w:rPr>
          <w:rFonts w:ascii="Calibri" w:hAnsi="Calibri" w:eastAsia="PingFang SC"/>
          <w:sz w:val="19"/>
        </w:rPr>
        <w:t xml:space="preserve">. ICLR 2025. </w:t>
      </w:r>
      <w:hyperlink r:id="rId46">
        <w:r>
          <w:rPr>
            <w:rFonts w:ascii="Calibri" w:hAnsi="Calibri" w:eastAsia="PingFang SC"/>
            <w:color w:val="2E74B5"/>
            <w:u w:val="single"/>
            <w:sz w:val="19"/>
            <w:szCs w:val="19"/>
          </w:rPr>
          <w:t>https://livebench.ai/</w:t>
        </w:r>
      </w:hyperlink>
    </w:p>
    <w:p>
      <w:pPr>
        <w:spacing w:after="80" w:line="264" w:lineRule="auto"/>
        <w:ind w:left="360" w:hanging="360"/>
      </w:pPr>
      <w:r>
        <w:rPr>
          <w:rFonts w:ascii="Calibri" w:hAnsi="Calibri" w:eastAsia="PingFang SC"/>
          <w:sz w:val="19"/>
        </w:rPr>
        <w:t xml:space="preserve">[14] Zhu et al. </w:t>
      </w:r>
      <w:r>
        <w:rPr>
          <w:rFonts w:ascii="Calibri" w:hAnsi="Calibri" w:eastAsia="PingFang SC"/>
          <w:i/>
          <w:sz w:val="19"/>
        </w:rPr>
        <w:t>JudgeLM: Fine-tuned Large Language Models are Scalable Judges</w:t>
      </w:r>
      <w:r>
        <w:rPr>
          <w:rFonts w:ascii="Calibri" w:hAnsi="Calibri" w:eastAsia="PingFang SC"/>
          <w:sz w:val="19"/>
        </w:rPr>
        <w:t xml:space="preserve">. arXiv:2310.17631, 2023. </w:t>
      </w:r>
      <w:hyperlink r:id="rId47">
        <w:r>
          <w:rPr>
            <w:rFonts w:ascii="Calibri" w:hAnsi="Calibri" w:eastAsia="PingFang SC"/>
            <w:color w:val="2E74B5"/>
            <w:u w:val="single"/>
            <w:sz w:val="19"/>
            <w:szCs w:val="19"/>
          </w:rPr>
          <w:t>https://arxiv.org/abs/2310.17631</w:t>
        </w:r>
      </w:hyperlink>
    </w:p>
    <w:p>
      <w:pPr>
        <w:spacing w:after="80" w:line="264" w:lineRule="auto"/>
        <w:ind w:left="360" w:hanging="360"/>
      </w:pPr>
      <w:r>
        <w:rPr>
          <w:rFonts w:ascii="Calibri" w:hAnsi="Calibri" w:eastAsia="PingFang SC"/>
          <w:sz w:val="19"/>
        </w:rPr>
        <w:t xml:space="preserve">[15] Kim et al. </w:t>
      </w:r>
      <w:r>
        <w:rPr>
          <w:rFonts w:ascii="Calibri" w:hAnsi="Calibri" w:eastAsia="PingFang SC"/>
          <w:i/>
          <w:sz w:val="19"/>
        </w:rPr>
        <w:t>Prometheus 2: An Open Source Language Model Specialized in Evaluating Other Language Models</w:t>
      </w:r>
      <w:r>
        <w:rPr>
          <w:rFonts w:ascii="Calibri" w:hAnsi="Calibri" w:eastAsia="PingFang SC"/>
          <w:sz w:val="19"/>
        </w:rPr>
        <w:t xml:space="preserve">. arXiv:2405.01535, 2024. </w:t>
      </w:r>
      <w:hyperlink r:id="rId48">
        <w:r>
          <w:rPr>
            <w:rFonts w:ascii="Calibri" w:hAnsi="Calibri" w:eastAsia="PingFang SC"/>
            <w:color w:val="2E74B5"/>
            <w:u w:val="single"/>
            <w:sz w:val="19"/>
            <w:szCs w:val="19"/>
          </w:rPr>
          <w:t>https://arxiv.org/abs/2405.01535</w:t>
        </w:r>
      </w:hyperlink>
    </w:p>
    <w:p>
      <w:pPr>
        <w:spacing w:after="80" w:line="264" w:lineRule="auto"/>
        <w:ind w:left="360" w:hanging="360"/>
      </w:pPr>
      <w:r>
        <w:rPr>
          <w:rFonts w:ascii="Calibri" w:hAnsi="Calibri" w:eastAsia="PingFang SC"/>
          <w:sz w:val="19"/>
        </w:rPr>
        <w:t xml:space="preserve">[16] Huang et al. </w:t>
      </w:r>
      <w:r>
        <w:rPr>
          <w:rFonts w:ascii="Calibri" w:hAnsi="Calibri" w:eastAsia="PingFang SC"/>
          <w:i/>
          <w:sz w:val="19"/>
        </w:rPr>
        <w:t>An Empirical Study of LLM-as-a-Judge for LLM Evaluation: Fine-tuned Judge Model is not a General Substitute for GPT-4</w:t>
      </w:r>
      <w:r>
        <w:rPr>
          <w:rFonts w:ascii="Calibri" w:hAnsi="Calibri" w:eastAsia="PingFang SC"/>
          <w:sz w:val="19"/>
        </w:rPr>
        <w:t xml:space="preserve">. arXiv:2403.02839, 2024. </w:t>
      </w:r>
      <w:hyperlink r:id="rId49">
        <w:r>
          <w:rPr>
            <w:rFonts w:ascii="Calibri" w:hAnsi="Calibri" w:eastAsia="PingFang SC"/>
            <w:color w:val="2E74B5"/>
            <w:u w:val="single"/>
            <w:sz w:val="19"/>
            <w:szCs w:val="19"/>
          </w:rPr>
          <w:t>https://arxiv.org/abs/2403.02839</w:t>
        </w:r>
      </w:hyperlink>
    </w:p>
    <w:p>
      <w:pPr>
        <w:spacing w:after="80" w:line="264" w:lineRule="auto"/>
        <w:ind w:left="360" w:hanging="360"/>
      </w:pPr>
      <w:r>
        <w:rPr>
          <w:rFonts w:ascii="Calibri" w:hAnsi="Calibri" w:eastAsia="PingFang SC"/>
          <w:sz w:val="19"/>
        </w:rPr>
        <w:t xml:space="preserve">[17] Java et al. </w:t>
      </w:r>
      <w:r>
        <w:rPr>
          <w:rFonts w:ascii="Calibri" w:hAnsi="Calibri" w:eastAsia="PingFang SC"/>
          <w:i/>
          <w:sz w:val="19"/>
        </w:rPr>
        <w:t>Characterizing Deep Research: A Benchmark and Formal Definition</w:t>
      </w:r>
      <w:r>
        <w:rPr>
          <w:rFonts w:ascii="Calibri" w:hAnsi="Calibri" w:eastAsia="PingFang SC"/>
          <w:sz w:val="19"/>
        </w:rPr>
        <w:t xml:space="preserve">. arXiv:2508.04183; ICLR 2026. </w:t>
      </w:r>
      <w:hyperlink r:id="rId50">
        <w:r>
          <w:rPr>
            <w:rFonts w:ascii="Calibri" w:hAnsi="Calibri" w:eastAsia="PingFang SC"/>
            <w:color w:val="2E74B5"/>
            <w:u w:val="single"/>
            <w:sz w:val="19"/>
            <w:szCs w:val="19"/>
          </w:rPr>
          <w:t>https://arxiv.org/abs/2508.04183</w:t>
        </w:r>
      </w:hyperlink>
    </w:p>
    <w:p>
      <w:pPr>
        <w:spacing w:after="80" w:line="264" w:lineRule="auto"/>
        <w:ind w:left="360" w:hanging="360"/>
      </w:pPr>
      <w:r>
        <w:rPr>
          <w:rFonts w:ascii="Calibri" w:hAnsi="Calibri" w:eastAsia="PingFang SC"/>
          <w:sz w:val="19"/>
        </w:rPr>
        <w:t xml:space="preserve">[18] Sharma et al. </w:t>
      </w:r>
      <w:r>
        <w:rPr>
          <w:rFonts w:ascii="Calibri" w:hAnsi="Calibri" w:eastAsia="PingFang SC"/>
          <w:i/>
          <w:sz w:val="19"/>
        </w:rPr>
        <w:t>ResearchRubrics: A Benchmark of Prompts and Rubrics for Evaluating Deep Research Agents</w:t>
      </w:r>
      <w:r>
        <w:rPr>
          <w:rFonts w:ascii="Calibri" w:hAnsi="Calibri" w:eastAsia="PingFang SC"/>
          <w:sz w:val="19"/>
        </w:rPr>
        <w:t xml:space="preserve">. arXiv:2511.07685; ICLR 2026. </w:t>
      </w:r>
      <w:hyperlink r:id="rId51">
        <w:r>
          <w:rPr>
            <w:rFonts w:ascii="Calibri" w:hAnsi="Calibri" w:eastAsia="PingFang SC"/>
            <w:color w:val="2E74B5"/>
            <w:u w:val="single"/>
            <w:sz w:val="19"/>
            <w:szCs w:val="19"/>
          </w:rPr>
          <w:t>https://arxiv.org/abs/2511.07685</w:t>
        </w:r>
      </w:hyperlink>
    </w:p>
    <w:p>
      <w:pPr>
        <w:spacing w:after="80" w:line="264" w:lineRule="auto"/>
        <w:ind w:left="360" w:hanging="360"/>
      </w:pPr>
      <w:r>
        <w:rPr>
          <w:rFonts w:ascii="Calibri" w:hAnsi="Calibri" w:eastAsia="PingFang SC"/>
          <w:sz w:val="19"/>
        </w:rPr>
        <w:t xml:space="preserve">[19] Yoran et al. </w:t>
      </w:r>
      <w:r>
        <w:rPr>
          <w:rFonts w:ascii="Calibri" w:hAnsi="Calibri" w:eastAsia="PingFang SC"/>
          <w:i/>
          <w:sz w:val="19"/>
        </w:rPr>
        <w:t>AssistantBench: Can Web Agents Solve Realistic and Time-Consuming Tasks?</w:t>
      </w:r>
      <w:r>
        <w:rPr>
          <w:rFonts w:ascii="Calibri" w:hAnsi="Calibri" w:eastAsia="PingFang SC"/>
          <w:sz w:val="19"/>
        </w:rPr>
        <w:t xml:space="preserve"> arXiv:2407.15711, 2024. </w:t>
      </w:r>
      <w:hyperlink r:id="rId52">
        <w:r>
          <w:rPr>
            <w:rFonts w:ascii="Calibri" w:hAnsi="Calibri" w:eastAsia="PingFang SC"/>
            <w:color w:val="2E74B5"/>
            <w:u w:val="single"/>
            <w:sz w:val="19"/>
            <w:szCs w:val="19"/>
          </w:rPr>
          <w:t>https://arxiv.org/abs/2407.15711</w:t>
        </w:r>
      </w:hyperlink>
    </w:p>
    <w:p>
      <w:pPr>
        <w:spacing w:after="80" w:line="264" w:lineRule="auto"/>
        <w:ind w:left="360" w:hanging="360"/>
      </w:pPr>
      <w:r>
        <w:rPr>
          <w:rFonts w:ascii="Calibri" w:hAnsi="Calibri" w:eastAsia="PingFang SC"/>
          <w:sz w:val="19"/>
        </w:rPr>
        <w:t xml:space="preserve">[20] Rosset et al. </w:t>
      </w:r>
      <w:r>
        <w:rPr>
          <w:rFonts w:ascii="Calibri" w:hAnsi="Calibri" w:eastAsia="PingFang SC"/>
          <w:i/>
          <w:sz w:val="19"/>
        </w:rPr>
        <w:t>Researchy Questions: A Dataset of Multi-Perspective, Decompositional Questions for LLM Web Agents</w:t>
      </w:r>
      <w:r>
        <w:rPr>
          <w:rFonts w:ascii="Calibri" w:hAnsi="Calibri" w:eastAsia="PingFang SC"/>
          <w:sz w:val="19"/>
        </w:rPr>
        <w:t xml:space="preserve">. arXiv:2402.17896, 2024. </w:t>
      </w:r>
      <w:hyperlink r:id="rId53">
        <w:r>
          <w:rPr>
            <w:rFonts w:ascii="Calibri" w:hAnsi="Calibri" w:eastAsia="PingFang SC"/>
            <w:color w:val="2E74B5"/>
            <w:u w:val="single"/>
            <w:sz w:val="19"/>
            <w:szCs w:val="19"/>
          </w:rPr>
          <w:t>https://arxiv.org/abs/2402.17896</w:t>
        </w:r>
      </w:hyperlink>
    </w:p>
    <w:p>
      <w:pPr>
        <w:spacing w:after="80" w:line="264" w:lineRule="auto"/>
        <w:ind w:left="360" w:hanging="360"/>
      </w:pPr>
      <w:r>
        <w:rPr>
          <w:rFonts w:ascii="Calibri" w:hAnsi="Calibri" w:eastAsia="PingFang SC"/>
          <w:sz w:val="19"/>
        </w:rPr>
        <w:t xml:space="preserve">[21] Xu et al. </w:t>
      </w:r>
      <w:r>
        <w:rPr>
          <w:rFonts w:ascii="Calibri" w:hAnsi="Calibri" w:eastAsia="PingFang SC"/>
          <w:i/>
          <w:sz w:val="19"/>
        </w:rPr>
        <w:t>ResearcherBench: Evaluating Deep AI Research Systems on the Frontiers of Scientific Inquiry</w:t>
      </w:r>
      <w:r>
        <w:rPr>
          <w:rFonts w:ascii="Calibri" w:hAnsi="Calibri" w:eastAsia="PingFang SC"/>
          <w:sz w:val="19"/>
        </w:rPr>
        <w:t xml:space="preserve">. arXiv:2507.16280, 2025. </w:t>
      </w:r>
      <w:hyperlink r:id="rId54">
        <w:r>
          <w:rPr>
            <w:rFonts w:ascii="Calibri" w:hAnsi="Calibri" w:eastAsia="PingFang SC"/>
            <w:color w:val="2E74B5"/>
            <w:u w:val="single"/>
            <w:sz w:val="19"/>
            <w:szCs w:val="19"/>
          </w:rPr>
          <w:t>https://arxiv.org/abs/2507.16280</w:t>
        </w:r>
      </w:hyperlink>
    </w:p>
    <w:p>
      <w:pPr>
        <w:spacing w:after="80" w:line="264" w:lineRule="auto"/>
        <w:ind w:left="360" w:hanging="360"/>
      </w:pPr>
      <w:r>
        <w:rPr>
          <w:rFonts w:ascii="Calibri" w:hAnsi="Calibri" w:eastAsia="PingFang SC"/>
          <w:sz w:val="19"/>
        </w:rPr>
        <w:t xml:space="preserve">[22] Liang et al. </w:t>
      </w:r>
      <w:r>
        <w:rPr>
          <w:rFonts w:ascii="Calibri" w:hAnsi="Calibri" w:eastAsia="PingFang SC"/>
          <w:i/>
          <w:sz w:val="19"/>
        </w:rPr>
        <w:t>Holistic Evaluation of Language Models</w:t>
      </w:r>
      <w:r>
        <w:rPr>
          <w:rFonts w:ascii="Calibri" w:hAnsi="Calibri" w:eastAsia="PingFang SC"/>
          <w:sz w:val="19"/>
        </w:rPr>
        <w:t xml:space="preserve">. TMLR, 2023. </w:t>
      </w:r>
      <w:hyperlink r:id="rId67">
        <w:r>
          <w:rPr>
            <w:rFonts w:ascii="Calibri" w:hAnsi="Calibri" w:eastAsia="PingFang SC"/>
            <w:color w:val="2E74B5"/>
            <w:u w:val="single"/>
            <w:sz w:val="19"/>
            <w:szCs w:val="19"/>
          </w:rPr>
          <w:t>https://arxiv.org/abs/2211.09110</w:t>
        </w:r>
      </w:hyperlink>
    </w:p>
    <w:p>
      <w:pPr>
        <w:spacing w:after="80" w:line="264" w:lineRule="auto"/>
        <w:ind w:left="360" w:hanging="360"/>
      </w:pPr>
      <w:r>
        <w:rPr>
          <w:rFonts w:ascii="Calibri" w:hAnsi="Calibri" w:eastAsia="PingFang SC"/>
          <w:sz w:val="19"/>
        </w:rPr>
        <w:t xml:space="preserve">[23] Ribeiro et al. </w:t>
      </w:r>
      <w:r>
        <w:rPr>
          <w:rFonts w:ascii="Calibri" w:hAnsi="Calibri" w:eastAsia="PingFang SC"/>
          <w:i/>
          <w:sz w:val="19"/>
        </w:rPr>
        <w:t>Beyond Accuracy: Behavioral Testing of NLP Models with CheckList</w:t>
      </w:r>
      <w:r>
        <w:rPr>
          <w:rFonts w:ascii="Calibri" w:hAnsi="Calibri" w:eastAsia="PingFang SC"/>
          <w:sz w:val="19"/>
        </w:rPr>
        <w:t xml:space="preserve">. ACL, 2020. </w:t>
      </w:r>
      <w:hyperlink r:id="rId66">
        <w:r>
          <w:rPr>
            <w:rFonts w:ascii="Calibri" w:hAnsi="Calibri" w:eastAsia="PingFang SC"/>
            <w:color w:val="2E74B5"/>
            <w:u w:val="single"/>
            <w:sz w:val="19"/>
            <w:szCs w:val="19"/>
          </w:rPr>
          <w:t>https://aclanthology.org/2020.acl-main.442/</w:t>
        </w:r>
      </w:hyperlink>
    </w:p>
    <w:p>
      <w:pPr>
        <w:spacing w:after="80" w:line="264" w:lineRule="auto"/>
        <w:ind w:left="360" w:hanging="360"/>
      </w:pPr>
      <w:r>
        <w:rPr>
          <w:rFonts w:ascii="Calibri" w:hAnsi="Calibri" w:eastAsia="PingFang SC"/>
          <w:sz w:val="19"/>
        </w:rPr>
        <w:t xml:space="preserve">[24] Reuel et al. </w:t>
      </w:r>
      <w:r>
        <w:rPr>
          <w:rFonts w:ascii="Calibri" w:hAnsi="Calibri" w:eastAsia="PingFang SC"/>
          <w:i/>
          <w:sz w:val="19"/>
        </w:rPr>
        <w:t>BetterBench: Assessing AI Benchmarks, Uncovering Issues, and Establishing Best Practices</w:t>
      </w:r>
      <w:r>
        <w:rPr>
          <w:rFonts w:ascii="Calibri" w:hAnsi="Calibri" w:eastAsia="PingFang SC"/>
          <w:sz w:val="19"/>
        </w:rPr>
        <w:t xml:space="preserve">. arXiv:2411.12990, 2024. </w:t>
      </w:r>
      <w:hyperlink r:id="rId68">
        <w:r>
          <w:rPr>
            <w:rFonts w:ascii="Calibri" w:hAnsi="Calibri" w:eastAsia="PingFang SC"/>
            <w:color w:val="2E74B5"/>
            <w:u w:val="single"/>
            <w:sz w:val="19"/>
            <w:szCs w:val="19"/>
          </w:rPr>
          <w:t>https://arxiv.org/abs/2411.12990</w:t>
        </w:r>
      </w:hyperlink>
    </w:p>
    <w:p>
      <w:pPr>
        <w:spacing w:after="80" w:line="264" w:lineRule="auto"/>
        <w:ind w:left="360" w:hanging="360"/>
      </w:pPr>
      <w:r>
        <w:rPr>
          <w:rFonts w:ascii="Calibri" w:hAnsi="Calibri" w:eastAsia="PingFang SC"/>
          <w:sz w:val="19"/>
        </w:rPr>
        <w:t xml:space="preserve">[25] Sokol et al. </w:t>
      </w:r>
      <w:r>
        <w:rPr>
          <w:rFonts w:ascii="Calibri" w:hAnsi="Calibri" w:eastAsia="PingFang SC"/>
          <w:i/>
          <w:sz w:val="19"/>
        </w:rPr>
        <w:t>BenchmarkCards: Standardized Documentation for Large Language Model Benchmarks</w:t>
      </w:r>
      <w:r>
        <w:rPr>
          <w:rFonts w:ascii="Calibri" w:hAnsi="Calibri" w:eastAsia="PingFang SC"/>
          <w:sz w:val="19"/>
        </w:rPr>
        <w:t xml:space="preserve">. NeurIPS Datasets and Benchmarks, 2025. </w:t>
      </w:r>
      <w:hyperlink r:id="rId69">
        <w:r>
          <w:rPr>
            <w:rFonts w:ascii="Calibri" w:hAnsi="Calibri" w:eastAsia="PingFang SC"/>
            <w:color w:val="2E74B5"/>
            <w:u w:val="single"/>
            <w:sz w:val="19"/>
            <w:szCs w:val="19"/>
          </w:rPr>
          <w:t>https://papers.neurips.cc/paper_files/paper/2025/hash/76175f4355e2f67cf91be468c8860070-Abstract-Datasets_and_Benchmarks_Track.html</w:t>
        </w:r>
      </w:hyperlink>
    </w:p>
    <w:p>
      <w:pPr>
        <w:spacing w:after="80" w:line="264" w:lineRule="auto"/>
        <w:ind w:left="360" w:hanging="360"/>
      </w:pPr>
      <w:r>
        <w:rPr>
          <w:rFonts w:ascii="Calibri" w:hAnsi="Calibri" w:eastAsia="PingFang SC"/>
          <w:sz w:val="19"/>
        </w:rPr>
        <w:t xml:space="preserve">[26] Zeng et al. </w:t>
      </w:r>
      <w:r>
        <w:rPr>
          <w:rFonts w:ascii="Calibri" w:hAnsi="Calibri" w:eastAsia="PingFang SC"/>
          <w:i/>
          <w:sz w:val="19"/>
        </w:rPr>
        <w:t>Setoka: A Benchmark for Hierarchical User Understanding in Personalized Agents over Heterogeneous Data</w:t>
      </w:r>
      <w:r>
        <w:rPr>
          <w:rFonts w:ascii="Calibri" w:hAnsi="Calibri" w:eastAsia="PingFang SC"/>
          <w:sz w:val="19"/>
        </w:rPr>
        <w:t xml:space="preserve">. arXiv:2607.27056, 2026. </w:t>
      </w:r>
      <w:hyperlink r:id="rId55">
        <w:r>
          <w:rPr>
            <w:rFonts w:ascii="Calibri" w:hAnsi="Calibri" w:eastAsia="PingFang SC"/>
            <w:color w:val="2E74B5"/>
            <w:u w:val="single"/>
            <w:sz w:val="19"/>
            <w:szCs w:val="19"/>
          </w:rPr>
          <w:t>https://arxiv.org/abs/2607.27056</w:t>
        </w:r>
      </w:hyperlink>
    </w:p>
    <w:p>
      <w:pPr>
        <w:spacing w:after="80" w:line="264" w:lineRule="auto"/>
        <w:ind w:left="360" w:hanging="360"/>
      </w:pPr>
      <w:r>
        <w:rPr>
          <w:rFonts w:ascii="Calibri" w:hAnsi="Calibri" w:eastAsia="PingFang SC"/>
          <w:sz w:val="19"/>
        </w:rPr>
        <w:t xml:space="preserve">[27] Qian et al. </w:t>
      </w:r>
      <w:r>
        <w:rPr>
          <w:rFonts w:ascii="Calibri" w:hAnsi="Calibri" w:eastAsia="PingFang SC"/>
          <w:i/>
          <w:sz w:val="19"/>
        </w:rPr>
        <w:t>Toward User-Conditioned Evaluation of Personal LLM Agents under Temporal Interventions</w:t>
      </w:r>
      <w:r>
        <w:rPr>
          <w:rFonts w:ascii="Calibri" w:hAnsi="Calibri" w:eastAsia="PingFang SC"/>
          <w:sz w:val="19"/>
        </w:rPr>
        <w:t xml:space="preserve">. arXiv:2607.21635, 2026. </w:t>
      </w:r>
      <w:hyperlink r:id="rId56">
        <w:r>
          <w:rPr>
            <w:rFonts w:ascii="Calibri" w:hAnsi="Calibri" w:eastAsia="PingFang SC"/>
            <w:color w:val="2E74B5"/>
            <w:u w:val="single"/>
            <w:sz w:val="19"/>
            <w:szCs w:val="19"/>
          </w:rPr>
          <w:t>https://arxiv.org/abs/2607.21635</w:t>
        </w:r>
      </w:hyperlink>
    </w:p>
    <w:p>
      <w:pPr>
        <w:spacing w:after="80" w:line="264" w:lineRule="auto"/>
        <w:ind w:left="360" w:hanging="360"/>
      </w:pPr>
      <w:r>
        <w:rPr>
          <w:rFonts w:ascii="Calibri" w:hAnsi="Calibri" w:eastAsia="PingFang SC"/>
          <w:sz w:val="19"/>
        </w:rPr>
        <w:t xml:space="preserve">[28] Yang et al. </w:t>
      </w:r>
      <w:r>
        <w:rPr>
          <w:rFonts w:ascii="Calibri" w:hAnsi="Calibri" w:eastAsia="PingFang SC"/>
          <w:i/>
          <w:sz w:val="19"/>
        </w:rPr>
        <w:t>PersonaTrail: Benchmarking Personalized Web Agents through Browsing Trails</w:t>
      </w:r>
      <w:r>
        <w:rPr>
          <w:rFonts w:ascii="Calibri" w:hAnsi="Calibri" w:eastAsia="PingFang SC"/>
          <w:sz w:val="19"/>
        </w:rPr>
        <w:t xml:space="preserve">. arXiv:2607.20482, 2026. </w:t>
      </w:r>
      <w:hyperlink r:id="rId57">
        <w:r>
          <w:rPr>
            <w:rFonts w:ascii="Calibri" w:hAnsi="Calibri" w:eastAsia="PingFang SC"/>
            <w:color w:val="2E74B5"/>
            <w:u w:val="single"/>
            <w:sz w:val="19"/>
            <w:szCs w:val="19"/>
          </w:rPr>
          <w:t>https://arxiv.org/abs/2607.20482</w:t>
        </w:r>
      </w:hyperlink>
    </w:p>
    <w:p>
      <w:pPr>
        <w:spacing w:after="80" w:line="264" w:lineRule="auto"/>
        <w:ind w:left="360" w:hanging="360"/>
      </w:pPr>
      <w:r>
        <w:rPr>
          <w:rFonts w:ascii="Calibri" w:hAnsi="Calibri" w:eastAsia="PingFang SC"/>
          <w:sz w:val="19"/>
        </w:rPr>
        <w:t xml:space="preserve">[29] Todisco et al. </w:t>
      </w:r>
      <w:r>
        <w:rPr>
          <w:rFonts w:ascii="Calibri" w:hAnsi="Calibri" w:eastAsia="PingFang SC"/>
          <w:i/>
          <w:sz w:val="19"/>
        </w:rPr>
        <w:t>TARS: A Theory-of-Mind Agent for Personalized In-IDE Code Comprehension</w:t>
      </w:r>
      <w:r>
        <w:rPr>
          <w:rFonts w:ascii="Calibri" w:hAnsi="Calibri" w:eastAsia="PingFang SC"/>
          <w:sz w:val="19"/>
        </w:rPr>
        <w:t xml:space="preserve">. arXiv:2607.15948, 2026. </w:t>
      </w:r>
      <w:hyperlink r:id="rId58">
        <w:r>
          <w:rPr>
            <w:rFonts w:ascii="Calibri" w:hAnsi="Calibri" w:eastAsia="PingFang SC"/>
            <w:color w:val="2E74B5"/>
            <w:u w:val="single"/>
            <w:sz w:val="19"/>
            <w:szCs w:val="19"/>
          </w:rPr>
          <w:t>https://arxiv.org/abs/2607.15948</w:t>
        </w:r>
      </w:hyperlink>
    </w:p>
    <w:p>
      <w:pPr>
        <w:spacing w:after="80" w:line="264" w:lineRule="auto"/>
        <w:ind w:left="360" w:hanging="360"/>
      </w:pPr>
      <w:r>
        <w:rPr>
          <w:rFonts w:ascii="Calibri" w:hAnsi="Calibri" w:eastAsia="PingFang SC"/>
          <w:sz w:val="19"/>
        </w:rPr>
        <w:t xml:space="preserve">[30] Yang. </w:t>
      </w:r>
      <w:r>
        <w:rPr>
          <w:rFonts w:ascii="Calibri" w:hAnsi="Calibri" w:eastAsia="PingFang SC"/>
          <w:i/>
          <w:sz w:val="19"/>
        </w:rPr>
        <w:t>Self-Aware Recursively Self-Improving Agents for Personal Singularity</w:t>
      </w:r>
      <w:r>
        <w:rPr>
          <w:rFonts w:ascii="Calibri" w:hAnsi="Calibri" w:eastAsia="PingFang SC"/>
          <w:sz w:val="19"/>
        </w:rPr>
        <w:t xml:space="preserve">. arXiv:2607.12254, 2026. </w:t>
      </w:r>
      <w:hyperlink r:id="rId59">
        <w:r>
          <w:rPr>
            <w:rFonts w:ascii="Calibri" w:hAnsi="Calibri" w:eastAsia="PingFang SC"/>
            <w:color w:val="2E74B5"/>
            <w:u w:val="single"/>
            <w:sz w:val="19"/>
            <w:szCs w:val="19"/>
          </w:rPr>
          <w:t>https://arxiv.org/abs/2607.12254</w:t>
        </w:r>
      </w:hyperlink>
    </w:p>
    <w:p>
      <w:pPr>
        <w:spacing w:after="80" w:line="264" w:lineRule="auto"/>
        <w:ind w:left="360" w:hanging="360"/>
      </w:pPr>
      <w:r>
        <w:rPr>
          <w:rFonts w:ascii="Calibri" w:hAnsi="Calibri" w:eastAsia="PingFang SC"/>
          <w:sz w:val="19"/>
        </w:rPr>
        <w:t xml:space="preserve">[31] Mao et al. </w:t>
      </w:r>
      <w:r>
        <w:rPr>
          <w:rFonts w:ascii="Calibri" w:hAnsi="Calibri" w:eastAsia="PingFang SC"/>
          <w:i/>
          <w:sz w:val="19"/>
        </w:rPr>
        <w:t>Agents Don't Just Agree, They Remember: Benchmarking Persistent Sycophancy in Stateful Personal Agents</w:t>
      </w:r>
      <w:r>
        <w:rPr>
          <w:rFonts w:ascii="Calibri" w:hAnsi="Calibri" w:eastAsia="PingFang SC"/>
          <w:sz w:val="19"/>
        </w:rPr>
        <w:t xml:space="preserve">. arXiv:2607.10526, 2026. </w:t>
      </w:r>
      <w:hyperlink r:id="rId60">
        <w:r>
          <w:rPr>
            <w:rFonts w:ascii="Calibri" w:hAnsi="Calibri" w:eastAsia="PingFang SC"/>
            <w:color w:val="2E74B5"/>
            <w:u w:val="single"/>
            <w:sz w:val="19"/>
            <w:szCs w:val="19"/>
          </w:rPr>
          <w:t>https://arxiv.org/abs/2607.10526</w:t>
        </w:r>
      </w:hyperlink>
    </w:p>
    <w:p>
      <w:pPr>
        <w:spacing w:after="80" w:line="264" w:lineRule="auto"/>
        <w:ind w:left="360" w:hanging="360"/>
      </w:pPr>
      <w:r>
        <w:rPr>
          <w:rFonts w:ascii="Calibri" w:hAnsi="Calibri" w:eastAsia="PingFang SC"/>
          <w:sz w:val="19"/>
        </w:rPr>
        <w:t xml:space="preserve">[32] Yang et al. </w:t>
      </w:r>
      <w:r>
        <w:rPr>
          <w:rFonts w:ascii="Calibri" w:hAnsi="Calibri" w:eastAsia="PingFang SC"/>
          <w:i/>
          <w:sz w:val="19"/>
        </w:rPr>
        <w:t>APeB: Benchmarking Personalization Ability of Large Language Model Agents</w:t>
      </w:r>
      <w:r>
        <w:rPr>
          <w:rFonts w:ascii="Calibri" w:hAnsi="Calibri" w:eastAsia="PingFang SC"/>
          <w:sz w:val="19"/>
        </w:rPr>
        <w:t xml:space="preserve">. arXiv:2607.03162, 2026. </w:t>
      </w:r>
      <w:hyperlink r:id="rId61">
        <w:r>
          <w:rPr>
            <w:rFonts w:ascii="Calibri" w:hAnsi="Calibri" w:eastAsia="PingFang SC"/>
            <w:color w:val="2E74B5"/>
            <w:u w:val="single"/>
            <w:sz w:val="19"/>
            <w:szCs w:val="19"/>
          </w:rPr>
          <w:t>https://arxiv.org/abs/2607.03162</w:t>
        </w:r>
      </w:hyperlink>
    </w:p>
    <w:p>
      <w:pPr>
        <w:spacing w:after="80" w:line="264" w:lineRule="auto"/>
        <w:ind w:left="360" w:hanging="360"/>
      </w:pPr>
      <w:r>
        <w:rPr>
          <w:rFonts w:ascii="Calibri" w:hAnsi="Calibri" w:eastAsia="PingFang SC"/>
          <w:sz w:val="19"/>
        </w:rPr>
        <w:t xml:space="preserve">[33] Salemi et al. </w:t>
      </w:r>
      <w:r>
        <w:rPr>
          <w:rFonts w:ascii="Calibri" w:hAnsi="Calibri" w:eastAsia="PingFang SC"/>
          <w:i/>
          <w:sz w:val="19"/>
        </w:rPr>
        <w:t>LaMP: When Large Language Models Meet Personalization</w:t>
      </w:r>
      <w:r>
        <w:rPr>
          <w:rFonts w:ascii="Calibri" w:hAnsi="Calibri" w:eastAsia="PingFang SC"/>
          <w:sz w:val="19"/>
        </w:rPr>
        <w:t xml:space="preserve">. ACL, 2024. </w:t>
      </w:r>
      <w:hyperlink r:id="rId11">
        <w:r>
          <w:rPr>
            <w:rFonts w:ascii="Calibri" w:hAnsi="Calibri" w:eastAsia="PingFang SC"/>
            <w:color w:val="2E74B5"/>
            <w:u w:val="single"/>
            <w:sz w:val="19"/>
            <w:szCs w:val="19"/>
          </w:rPr>
          <w:t>https://aclanthology.org/2024.acl-long.399/</w:t>
        </w:r>
      </w:hyperlink>
    </w:p>
    <w:p>
      <w:pPr>
        <w:spacing w:after="80" w:line="264" w:lineRule="auto"/>
        <w:ind w:left="360" w:hanging="360"/>
      </w:pPr>
      <w:r>
        <w:rPr>
          <w:rFonts w:ascii="Calibri" w:hAnsi="Calibri" w:eastAsia="PingFang SC"/>
          <w:sz w:val="19"/>
        </w:rPr>
        <w:t xml:space="preserve">[34] Singh et al. </w:t>
      </w:r>
      <w:r>
        <w:rPr>
          <w:rFonts w:ascii="Calibri" w:hAnsi="Calibri" w:eastAsia="PingFang SC"/>
          <w:i/>
          <w:sz w:val="19"/>
        </w:rPr>
        <w:t>Personal Large Language Model Agents: A Case Study on Tailored Travel Planning</w:t>
      </w:r>
      <w:r>
        <w:rPr>
          <w:rFonts w:ascii="Calibri" w:hAnsi="Calibri" w:eastAsia="PingFang SC"/>
          <w:sz w:val="19"/>
        </w:rPr>
        <w:t xml:space="preserve">. EMNLP Industry Track, 2024. </w:t>
      </w:r>
      <w:hyperlink r:id="rId13">
        <w:r>
          <w:rPr>
            <w:rFonts w:ascii="Calibri" w:hAnsi="Calibri" w:eastAsia="PingFang SC"/>
            <w:color w:val="2E74B5"/>
            <w:u w:val="single"/>
            <w:sz w:val="19"/>
            <w:szCs w:val="19"/>
          </w:rPr>
          <w:t>https://aclanthology.org/2024.emnlp-industry.37/</w:t>
        </w:r>
      </w:hyperlink>
    </w:p>
    <w:p>
      <w:pPr>
        <w:spacing w:after="80" w:line="264" w:lineRule="auto"/>
        <w:ind w:left="360" w:hanging="360"/>
      </w:pPr>
      <w:r>
        <w:rPr>
          <w:rFonts w:ascii="Calibri" w:hAnsi="Calibri" w:eastAsia="PingFang SC"/>
          <w:sz w:val="19"/>
        </w:rPr>
        <w:t xml:space="preserve">[35] Zhao et al. </w:t>
      </w:r>
      <w:r>
        <w:rPr>
          <w:rFonts w:ascii="Calibri" w:hAnsi="Calibri" w:eastAsia="PingFang SC"/>
          <w:i/>
          <w:sz w:val="19"/>
        </w:rPr>
        <w:t>PersonaLens: A Benchmark for Personalization Evaluation in Conversational AI Assistants</w:t>
      </w:r>
      <w:r>
        <w:rPr>
          <w:rFonts w:ascii="Calibri" w:hAnsi="Calibri" w:eastAsia="PingFang SC"/>
          <w:sz w:val="19"/>
        </w:rPr>
        <w:t xml:space="preserve">. Findings of ACL, 2025. </w:t>
      </w:r>
      <w:hyperlink r:id="rId12">
        <w:r>
          <w:rPr>
            <w:rFonts w:ascii="Calibri" w:hAnsi="Calibri" w:eastAsia="PingFang SC"/>
            <w:color w:val="2E74B5"/>
            <w:u w:val="single"/>
            <w:sz w:val="19"/>
            <w:szCs w:val="19"/>
          </w:rPr>
          <w:t>https://aclanthology.org/2025.findings-acl.927/</w:t>
        </w:r>
      </w:hyperlink>
    </w:p>
    <w:p>
      <w:pPr>
        <w:spacing w:after="80" w:line="264" w:lineRule="auto"/>
        <w:ind w:left="360" w:hanging="360"/>
      </w:pPr>
      <w:r>
        <w:rPr>
          <w:rFonts w:ascii="Calibri" w:hAnsi="Calibri" w:eastAsia="PingFang SC"/>
          <w:sz w:val="19"/>
        </w:rPr>
        <w:t xml:space="preserve">[36] Jiang et al. </w:t>
      </w:r>
      <w:r>
        <w:rPr>
          <w:rFonts w:ascii="Calibri" w:hAnsi="Calibri" w:eastAsia="PingFang SC"/>
          <w:i/>
          <w:sz w:val="19"/>
        </w:rPr>
        <w:t>Know Me, Respond to Me: Benchmarking LLMs for Dynamic User Profiling and Personalized Responses at Scale</w:t>
      </w:r>
      <w:r>
        <w:rPr>
          <w:rFonts w:ascii="Calibri" w:hAnsi="Calibri" w:eastAsia="PingFang SC"/>
          <w:sz w:val="19"/>
        </w:rPr>
        <w:t xml:space="preserve">. arXiv:2504.14225, 2025. </w:t>
      </w:r>
      <w:hyperlink r:id="rId19">
        <w:r>
          <w:rPr>
            <w:rFonts w:ascii="Calibri" w:hAnsi="Calibri" w:eastAsia="PingFang SC"/>
            <w:color w:val="2E74B5"/>
            <w:u w:val="single"/>
            <w:sz w:val="19"/>
            <w:szCs w:val="19"/>
          </w:rPr>
          <w:t>https://arxiv.org/abs/2504.14225</w:t>
        </w:r>
      </w:hyperlink>
    </w:p>
    <w:p>
      <w:pPr>
        <w:spacing w:after="80" w:line="264" w:lineRule="auto"/>
        <w:ind w:left="360" w:hanging="360"/>
      </w:pPr>
      <w:r>
        <w:rPr>
          <w:rFonts w:ascii="Calibri" w:hAnsi="Calibri" w:eastAsia="PingFang SC"/>
          <w:sz w:val="19"/>
        </w:rPr>
        <w:t xml:space="preserve">[37] Hao et al. </w:t>
      </w:r>
      <w:r>
        <w:rPr>
          <w:rFonts w:ascii="Calibri" w:hAnsi="Calibri" w:eastAsia="PingFang SC"/>
          <w:i/>
          <w:sz w:val="19"/>
        </w:rPr>
        <w:t>Evaluating Personalized Tool-Augmented LLMs from the Perspectives of Personalization and Proactivity</w:t>
      </w:r>
      <w:r>
        <w:rPr>
          <w:rFonts w:ascii="Calibri" w:hAnsi="Calibri" w:eastAsia="PingFang SC"/>
          <w:sz w:val="19"/>
        </w:rPr>
        <w:t xml:space="preserve">. ACL, 2025. </w:t>
      </w:r>
      <w:hyperlink r:id="rId14">
        <w:r>
          <w:rPr>
            <w:rFonts w:ascii="Calibri" w:hAnsi="Calibri" w:eastAsia="PingFang SC"/>
            <w:color w:val="2E74B5"/>
            <w:u w:val="single"/>
            <w:sz w:val="19"/>
            <w:szCs w:val="19"/>
          </w:rPr>
          <w:t>https://aclanthology.org/2025.acl-long.1064/</w:t>
        </w:r>
      </w:hyperlink>
    </w:p>
    <w:p>
      <w:pPr>
        <w:spacing w:after="80" w:line="264" w:lineRule="auto"/>
        <w:ind w:left="360" w:hanging="360"/>
      </w:pPr>
      <w:r>
        <w:rPr>
          <w:rFonts w:ascii="Calibri" w:hAnsi="Calibri" w:eastAsia="PingFang SC"/>
          <w:sz w:val="19"/>
        </w:rPr>
        <w:t xml:space="preserve">[38] Cheng et al. </w:t>
      </w:r>
      <w:r>
        <w:rPr>
          <w:rFonts w:ascii="Calibri" w:hAnsi="Calibri" w:eastAsia="PingFang SC"/>
          <w:i/>
          <w:sz w:val="19"/>
        </w:rPr>
        <w:t>ToolSpectrum: Towards Personalized Tool Utilization for Large Language Models</w:t>
      </w:r>
      <w:r>
        <w:rPr>
          <w:rFonts w:ascii="Calibri" w:hAnsi="Calibri" w:eastAsia="PingFang SC"/>
          <w:sz w:val="19"/>
        </w:rPr>
        <w:t xml:space="preserve">. arXiv:2505.13176, 2025. </w:t>
      </w:r>
      <w:hyperlink r:id="rId15">
        <w:r>
          <w:rPr>
            <w:rFonts w:ascii="Calibri" w:hAnsi="Calibri" w:eastAsia="PingFang SC"/>
            <w:color w:val="2E74B5"/>
            <w:u w:val="single"/>
            <w:sz w:val="19"/>
            <w:szCs w:val="19"/>
          </w:rPr>
          <w:t>https://arxiv.org/abs/2505.13176</w:t>
        </w:r>
      </w:hyperlink>
    </w:p>
    <w:p>
      <w:pPr>
        <w:spacing w:after="80" w:line="264" w:lineRule="auto"/>
        <w:ind w:left="360" w:hanging="360"/>
      </w:pPr>
      <w:r>
        <w:rPr>
          <w:rFonts w:ascii="Calibri" w:hAnsi="Calibri" w:eastAsia="PingFang SC"/>
          <w:sz w:val="19"/>
        </w:rPr>
        <w:t xml:space="preserve">[39] Zhang et al. </w:t>
      </w:r>
      <w:r>
        <w:rPr>
          <w:rFonts w:ascii="Calibri" w:hAnsi="Calibri" w:eastAsia="PingFang SC"/>
          <w:i/>
          <w:sz w:val="19"/>
        </w:rPr>
        <w:t>PRIME: Large Language Model Personalization with Cognitive Dual-Memory and Personalized Thought Process</w:t>
      </w:r>
      <w:r>
        <w:rPr>
          <w:rFonts w:ascii="Calibri" w:hAnsi="Calibri" w:eastAsia="PingFang SC"/>
          <w:sz w:val="19"/>
        </w:rPr>
        <w:t xml:space="preserve">. EMNLP, 2025. </w:t>
      </w:r>
      <w:hyperlink r:id="rId63">
        <w:r>
          <w:rPr>
            <w:rFonts w:ascii="Calibri" w:hAnsi="Calibri" w:eastAsia="PingFang SC"/>
            <w:color w:val="2E74B5"/>
            <w:u w:val="single"/>
            <w:sz w:val="19"/>
            <w:szCs w:val="19"/>
          </w:rPr>
          <w:t>https://aclanthology.org/2025.emnlp-main.1711/</w:t>
        </w:r>
      </w:hyperlink>
    </w:p>
    <w:p>
      <w:pPr>
        <w:spacing w:after="80" w:line="264" w:lineRule="auto"/>
        <w:ind w:left="360" w:hanging="360"/>
      </w:pPr>
      <w:r>
        <w:rPr>
          <w:rFonts w:ascii="Calibri" w:hAnsi="Calibri" w:eastAsia="PingFang SC"/>
          <w:sz w:val="19"/>
        </w:rPr>
        <w:t xml:space="preserve">[40] Li et al. </w:t>
      </w:r>
      <w:r>
        <w:rPr>
          <w:rFonts w:ascii="Calibri" w:hAnsi="Calibri" w:eastAsia="PingFang SC"/>
          <w:i/>
          <w:sz w:val="19"/>
        </w:rPr>
        <w:t>Personalized Deep Research: A User-Centric Framework, Dataset, and Hybrid Evaluation for Knowledge Discovery</w:t>
      </w:r>
      <w:r>
        <w:rPr>
          <w:rFonts w:ascii="Calibri" w:hAnsi="Calibri" w:eastAsia="PingFang SC"/>
          <w:sz w:val="19"/>
        </w:rPr>
        <w:t xml:space="preserve">. arXiv:2605.10530, 2026. </w:t>
      </w:r>
      <w:hyperlink r:id="rId26">
        <w:r>
          <w:rPr>
            <w:rFonts w:ascii="Calibri" w:hAnsi="Calibri" w:eastAsia="PingFang SC"/>
            <w:color w:val="2E74B5"/>
            <w:u w:val="single"/>
            <w:sz w:val="19"/>
            <w:szCs w:val="19"/>
          </w:rPr>
          <w:t>https://arxiv.org/abs/2605.10530</w:t>
        </w:r>
      </w:hyperlink>
    </w:p>
    <w:p>
      <w:pPr>
        <w:spacing w:after="80" w:line="264" w:lineRule="auto"/>
        <w:ind w:left="360" w:hanging="360"/>
      </w:pPr>
      <w:r>
        <w:rPr>
          <w:rFonts w:ascii="Calibri" w:hAnsi="Calibri" w:eastAsia="PingFang SC"/>
          <w:sz w:val="19"/>
        </w:rPr>
        <w:t xml:space="preserve">[41] Balepur et al. </w:t>
      </w:r>
      <w:r>
        <w:rPr>
          <w:rFonts w:ascii="Calibri" w:hAnsi="Calibri" w:eastAsia="PingFang SC"/>
          <w:i/>
          <w:sz w:val="19"/>
        </w:rPr>
        <w:t>Language Models Don't Know What You Want: Evaluating Personalization in Deep Research Needs Real Users</w:t>
      </w:r>
      <w:r>
        <w:rPr>
          <w:rFonts w:ascii="Calibri" w:hAnsi="Calibri" w:eastAsia="PingFang SC"/>
          <w:sz w:val="19"/>
        </w:rPr>
        <w:t xml:space="preserve">. ACL, 2026. </w:t>
      </w:r>
      <w:hyperlink r:id="rId27">
        <w:r>
          <w:rPr>
            <w:rFonts w:ascii="Calibri" w:hAnsi="Calibri" w:eastAsia="PingFang SC"/>
            <w:color w:val="2E74B5"/>
            <w:u w:val="single"/>
            <w:sz w:val="19"/>
            <w:szCs w:val="19"/>
          </w:rPr>
          <w:t>https://aclanthology.org/2026.acl-long.723/</w:t>
        </w:r>
      </w:hyperlink>
    </w:p>
    <w:p>
      <w:pPr>
        <w:spacing w:after="80" w:line="264" w:lineRule="auto"/>
        <w:ind w:left="360" w:hanging="360"/>
      </w:pPr>
      <w:r>
        <w:rPr>
          <w:rFonts w:ascii="Calibri" w:hAnsi="Calibri" w:eastAsia="PingFang SC"/>
          <w:sz w:val="19"/>
        </w:rPr>
        <w:t xml:space="preserve">[42] Garbacea et al. </w:t>
      </w:r>
      <w:r>
        <w:rPr>
          <w:rFonts w:ascii="Calibri" w:hAnsi="Calibri" w:eastAsia="PingFang SC"/>
          <w:i/>
          <w:sz w:val="19"/>
        </w:rPr>
        <w:t>Personalized Benchmarking: Evaluating LLMs by Individual Preferences</w:t>
      </w:r>
      <w:r>
        <w:rPr>
          <w:rFonts w:ascii="Calibri" w:hAnsi="Calibri" w:eastAsia="PingFang SC"/>
          <w:sz w:val="19"/>
        </w:rPr>
        <w:t xml:space="preserve">. Findings of ACL, 2026. </w:t>
      </w:r>
      <w:hyperlink r:id="rId65">
        <w:r>
          <w:rPr>
            <w:rFonts w:ascii="Calibri" w:hAnsi="Calibri" w:eastAsia="PingFang SC"/>
            <w:color w:val="2E74B5"/>
            <w:u w:val="single"/>
            <w:sz w:val="19"/>
            <w:szCs w:val="19"/>
          </w:rPr>
          <w:t>https://aclanthology.org/2026.findings-acl.31/</w:t>
        </w:r>
      </w:hyperlink>
    </w:p>
    <w:p>
      <w:pPr>
        <w:spacing w:after="80" w:line="264" w:lineRule="auto"/>
        <w:ind w:left="360" w:hanging="360"/>
      </w:pPr>
      <w:r>
        <w:rPr>
          <w:rFonts w:ascii="Calibri" w:hAnsi="Calibri" w:eastAsia="PingFang SC"/>
          <w:sz w:val="19"/>
        </w:rPr>
        <w:t xml:space="preserve">[43] Feng et al. </w:t>
      </w:r>
      <w:r>
        <w:rPr>
          <w:rFonts w:ascii="Calibri" w:hAnsi="Calibri" w:eastAsia="PingFang SC"/>
          <w:i/>
          <w:sz w:val="19"/>
        </w:rPr>
        <w:t>How Does Personalized Memory Shape LLM Behavior? Benchmarking Rational Preference Utilization in Personalized Assistants</w:t>
      </w:r>
      <w:r>
        <w:rPr>
          <w:rFonts w:ascii="Calibri" w:hAnsi="Calibri" w:eastAsia="PingFang SC"/>
          <w:sz w:val="19"/>
        </w:rPr>
        <w:t xml:space="preserve">. arXiv:2601.16621, 2026. </w:t>
      </w:r>
      <w:hyperlink r:id="rId20">
        <w:r>
          <w:rPr>
            <w:rFonts w:ascii="Calibri" w:hAnsi="Calibri" w:eastAsia="PingFang SC"/>
            <w:color w:val="2E74B5"/>
            <w:u w:val="single"/>
            <w:sz w:val="19"/>
            <w:szCs w:val="19"/>
          </w:rPr>
          <w:t>https://arxiv.org/abs/2601.16621</w:t>
        </w:r>
      </w:hyperlink>
    </w:p>
    <w:p>
      <w:pPr>
        <w:spacing w:after="80" w:line="264" w:lineRule="auto"/>
        <w:ind w:left="360" w:hanging="360"/>
      </w:pPr>
      <w:r>
        <w:rPr>
          <w:rFonts w:ascii="Calibri" w:hAnsi="Calibri" w:eastAsia="PingFang SC"/>
          <w:sz w:val="19"/>
        </w:rPr>
        <w:t xml:space="preserve">[44] Liang et al. </w:t>
      </w:r>
      <w:r>
        <w:rPr>
          <w:rFonts w:ascii="Calibri" w:hAnsi="Calibri" w:eastAsia="PingFang SC"/>
          <w:i/>
          <w:sz w:val="19"/>
        </w:rPr>
        <w:t>Learning Personalized Agents from Human Feedback</w:t>
      </w:r>
      <w:r>
        <w:rPr>
          <w:rFonts w:ascii="Calibri" w:hAnsi="Calibri" w:eastAsia="PingFang SC"/>
          <w:sz w:val="19"/>
        </w:rPr>
        <w:t xml:space="preserve">. arXiv:2602.16173, 2026. </w:t>
      </w:r>
      <w:hyperlink r:id="rId21">
        <w:r>
          <w:rPr>
            <w:rFonts w:ascii="Calibri" w:hAnsi="Calibri" w:eastAsia="PingFang SC"/>
            <w:color w:val="2E74B5"/>
            <w:u w:val="single"/>
            <w:sz w:val="19"/>
            <w:szCs w:val="19"/>
          </w:rPr>
          <w:t>https://arxiv.org/abs/2602.16173</w:t>
        </w:r>
      </w:hyperlink>
    </w:p>
    <w:p>
      <w:pPr>
        <w:spacing w:after="80" w:line="264" w:lineRule="auto"/>
        <w:ind w:left="360" w:hanging="360"/>
      </w:pPr>
      <w:r>
        <w:rPr>
          <w:rFonts w:ascii="Calibri" w:hAnsi="Calibri" w:eastAsia="PingFang SC"/>
          <w:sz w:val="19"/>
        </w:rPr>
        <w:t xml:space="preserve">[45] In et al. </w:t>
      </w:r>
      <w:r>
        <w:rPr>
          <w:rFonts w:ascii="Calibri" w:hAnsi="Calibri" w:eastAsia="PingFang SC"/>
          <w:i/>
          <w:sz w:val="19"/>
        </w:rPr>
        <w:t>Personalize-then-Store: Benchmarking and Learning Personalized Memory for Long-horizon Agents</w:t>
      </w:r>
      <w:r>
        <w:rPr>
          <w:rFonts w:ascii="Calibri" w:hAnsi="Calibri" w:eastAsia="PingFang SC"/>
          <w:sz w:val="19"/>
        </w:rPr>
        <w:t xml:space="preserve">. arXiv:2605.25535, 2026. </w:t>
      </w:r>
      <w:hyperlink r:id="rId22">
        <w:r>
          <w:rPr>
            <w:rFonts w:ascii="Calibri" w:hAnsi="Calibri" w:eastAsia="PingFang SC"/>
            <w:color w:val="2E74B5"/>
            <w:u w:val="single"/>
            <w:sz w:val="19"/>
            <w:szCs w:val="19"/>
          </w:rPr>
          <w:t>https://arxiv.org/abs/2605.25535</w:t>
        </w:r>
      </w:hyperlink>
    </w:p>
    <w:p>
      <w:pPr>
        <w:spacing w:after="80" w:line="264" w:lineRule="auto"/>
        <w:ind w:left="360" w:hanging="360"/>
      </w:pPr>
      <w:r>
        <w:rPr>
          <w:rFonts w:ascii="Calibri" w:hAnsi="Calibri" w:eastAsia="PingFang SC"/>
          <w:sz w:val="19"/>
        </w:rPr>
        <w:t xml:space="preserve">[46] Uddin et al. </w:t>
      </w:r>
      <w:r>
        <w:rPr>
          <w:rFonts w:ascii="Calibri" w:hAnsi="Calibri" w:eastAsia="PingFang SC"/>
          <w:i/>
          <w:sz w:val="19"/>
        </w:rPr>
        <w:t>From Recall to Forgetting: Benchmarking Long-Term Memory for Personalized Agents</w:t>
      </w:r>
      <w:r>
        <w:rPr>
          <w:rFonts w:ascii="Calibri" w:hAnsi="Calibri" w:eastAsia="PingFang SC"/>
          <w:sz w:val="19"/>
        </w:rPr>
        <w:t xml:space="preserve">. Findings of ACL, 2026. </w:t>
      </w:r>
      <w:hyperlink r:id="rId23">
        <w:r>
          <w:rPr>
            <w:rFonts w:ascii="Calibri" w:hAnsi="Calibri" w:eastAsia="PingFang SC"/>
            <w:color w:val="2E74B5"/>
            <w:u w:val="single"/>
            <w:sz w:val="19"/>
            <w:szCs w:val="19"/>
          </w:rPr>
          <w:t>https://aclanthology.org/2026.findings-acl.1337/</w:t>
        </w:r>
      </w:hyperlink>
    </w:p>
    <w:p>
      <w:pPr>
        <w:spacing w:after="80" w:line="264" w:lineRule="auto"/>
        <w:ind w:left="360" w:hanging="360"/>
      </w:pPr>
      <w:r>
        <w:rPr>
          <w:rFonts w:ascii="Calibri" w:hAnsi="Calibri" w:eastAsia="PingFang SC"/>
          <w:sz w:val="19"/>
        </w:rPr>
        <w:t xml:space="preserve">[47] Hu et al. </w:t>
      </w:r>
      <w:r>
        <w:rPr>
          <w:rFonts w:ascii="Calibri" w:hAnsi="Calibri" w:eastAsia="PingFang SC"/>
          <w:i/>
          <w:sz w:val="19"/>
        </w:rPr>
        <w:t>CloneMem: Benchmarking Long-Term Memory for AI Clones</w:t>
      </w:r>
      <w:r>
        <w:rPr>
          <w:rFonts w:ascii="Calibri" w:hAnsi="Calibri" w:eastAsia="PingFang SC"/>
          <w:sz w:val="19"/>
        </w:rPr>
        <w:t xml:space="preserve">. ACL, 2026. </w:t>
      </w:r>
      <w:hyperlink r:id="rId24">
        <w:r>
          <w:rPr>
            <w:rFonts w:ascii="Calibri" w:hAnsi="Calibri" w:eastAsia="PingFang SC"/>
            <w:color w:val="2E74B5"/>
            <w:u w:val="single"/>
            <w:sz w:val="19"/>
            <w:szCs w:val="19"/>
          </w:rPr>
          <w:t>https://aclanthology.org/2026.acl-long.1549/</w:t>
        </w:r>
      </w:hyperlink>
    </w:p>
    <w:p>
      <w:pPr>
        <w:spacing w:after="80" w:line="264" w:lineRule="auto"/>
        <w:ind w:left="360" w:hanging="360"/>
      </w:pPr>
      <w:r>
        <w:rPr>
          <w:rFonts w:ascii="Calibri" w:hAnsi="Calibri" w:eastAsia="PingFang SC"/>
          <w:sz w:val="19"/>
        </w:rPr>
        <w:t xml:space="preserve">[48] Shen et al. </w:t>
      </w:r>
      <w:r>
        <w:rPr>
          <w:rFonts w:ascii="Calibri" w:hAnsi="Calibri" w:eastAsia="PingFang SC"/>
          <w:i/>
          <w:sz w:val="19"/>
        </w:rPr>
        <w:t>Mem2ActBench: A Benchmark for Evaluating Long-Term Memory Utilization in Task-Oriented Autonomous Agents</w:t>
      </w:r>
      <w:r>
        <w:rPr>
          <w:rFonts w:ascii="Calibri" w:hAnsi="Calibri" w:eastAsia="PingFang SC"/>
          <w:sz w:val="19"/>
        </w:rPr>
        <w:t xml:space="preserve">. ACL, 2026. </w:t>
      </w:r>
      <w:hyperlink r:id="rId17">
        <w:r>
          <w:rPr>
            <w:rFonts w:ascii="Calibri" w:hAnsi="Calibri" w:eastAsia="PingFang SC"/>
            <w:color w:val="2E74B5"/>
            <w:u w:val="single"/>
            <w:sz w:val="19"/>
            <w:szCs w:val="19"/>
          </w:rPr>
          <w:t>https://aclanthology.org/2026.acl-long.370/</w:t>
        </w:r>
      </w:hyperlink>
    </w:p>
    <w:p>
      <w:pPr>
        <w:spacing w:after="80" w:line="264" w:lineRule="auto"/>
        <w:ind w:left="360" w:hanging="360"/>
      </w:pPr>
      <w:r>
        <w:rPr>
          <w:rFonts w:ascii="Calibri" w:hAnsi="Calibri" w:eastAsia="PingFang SC"/>
          <w:sz w:val="19"/>
        </w:rPr>
        <w:t xml:space="preserve">[49] Chen et al. </w:t>
      </w:r>
      <w:r>
        <w:rPr>
          <w:rFonts w:ascii="Calibri" w:hAnsi="Calibri" w:eastAsia="PingFang SC"/>
          <w:i/>
          <w:sz w:val="19"/>
        </w:rPr>
        <w:t>Towards Preference Following in Tool Calling Language Agents</w:t>
      </w:r>
      <w:r>
        <w:rPr>
          <w:rFonts w:ascii="Calibri" w:hAnsi="Calibri" w:eastAsia="PingFang SC"/>
          <w:sz w:val="19"/>
        </w:rPr>
        <w:t xml:space="preserve">. Findings of ACL, 2026. </w:t>
      </w:r>
      <w:hyperlink r:id="rId16">
        <w:r>
          <w:rPr>
            <w:rFonts w:ascii="Calibri" w:hAnsi="Calibri" w:eastAsia="PingFang SC"/>
            <w:color w:val="2E74B5"/>
            <w:u w:val="single"/>
            <w:sz w:val="19"/>
            <w:szCs w:val="19"/>
          </w:rPr>
          <w:t>https://aclanthology.org/2026.findings-acl.1676/</w:t>
        </w:r>
      </w:hyperlink>
    </w:p>
    <w:p>
      <w:pPr>
        <w:spacing w:after="80" w:line="264" w:lineRule="auto"/>
        <w:ind w:left="360" w:hanging="360"/>
      </w:pPr>
      <w:r>
        <w:rPr>
          <w:rFonts w:ascii="Calibri" w:hAnsi="Calibri" w:eastAsia="PingFang SC"/>
          <w:sz w:val="19"/>
        </w:rPr>
        <w:t xml:space="preserve">[50] Lyu et al. </w:t>
      </w:r>
      <w:r>
        <w:rPr>
          <w:rFonts w:ascii="Calibri" w:hAnsi="Calibri" w:eastAsia="PingFang SC"/>
          <w:i/>
          <w:sz w:val="19"/>
        </w:rPr>
        <w:t>PersonalAlign: Hierarchical Implicit Intent Alignment for Personalized GUI Agent with Long-Term User-Centric Records</w:t>
      </w:r>
      <w:r>
        <w:rPr>
          <w:rFonts w:ascii="Calibri" w:hAnsi="Calibri" w:eastAsia="PingFang SC"/>
          <w:sz w:val="19"/>
        </w:rPr>
        <w:t xml:space="preserve">. ACL, 2026. </w:t>
      </w:r>
      <w:hyperlink r:id="rId18">
        <w:r>
          <w:rPr>
            <w:rFonts w:ascii="Calibri" w:hAnsi="Calibri" w:eastAsia="PingFang SC"/>
            <w:color w:val="2E74B5"/>
            <w:u w:val="single"/>
            <w:sz w:val="19"/>
            <w:szCs w:val="19"/>
          </w:rPr>
          <w:t>https://aclanthology.org/2026.acl-long.1669/</w:t>
        </w:r>
      </w:hyperlink>
    </w:p>
    <w:p>
      <w:pPr>
        <w:spacing w:after="80" w:line="264" w:lineRule="auto"/>
        <w:ind w:left="360" w:hanging="360"/>
      </w:pPr>
      <w:r>
        <w:rPr>
          <w:rFonts w:ascii="Calibri" w:hAnsi="Calibri" w:eastAsia="PingFang SC"/>
          <w:sz w:val="19"/>
        </w:rPr>
        <w:t xml:space="preserve">[51] Wang et al. </w:t>
      </w:r>
      <w:r>
        <w:rPr>
          <w:rFonts w:ascii="Calibri" w:hAnsi="Calibri" w:eastAsia="PingFang SC"/>
          <w:i/>
          <w:sz w:val="19"/>
        </w:rPr>
        <w:t>OPeRA: A Dataset of Observation, Persona, Rationale, and Action for Evaluating LLMs on Human Online Shopping Behavior Simulation</w:t>
      </w:r>
      <w:r>
        <w:rPr>
          <w:rFonts w:ascii="Calibri" w:hAnsi="Calibri" w:eastAsia="PingFang SC"/>
          <w:sz w:val="19"/>
        </w:rPr>
        <w:t xml:space="preserve">. ACL, 2026. </w:t>
      </w:r>
      <w:hyperlink r:id="rId62">
        <w:r>
          <w:rPr>
            <w:rFonts w:ascii="Calibri" w:hAnsi="Calibri" w:eastAsia="PingFang SC"/>
            <w:color w:val="2E74B5"/>
            <w:u w:val="single"/>
            <w:sz w:val="19"/>
            <w:szCs w:val="19"/>
          </w:rPr>
          <w:t>https://aclanthology.org/2026.acl-long.2033/</w:t>
        </w:r>
      </w:hyperlink>
    </w:p>
    <w:p>
      <w:pPr>
        <w:spacing w:after="80" w:line="264" w:lineRule="auto"/>
        <w:ind w:left="360" w:hanging="360"/>
      </w:pPr>
      <w:r>
        <w:rPr>
          <w:rFonts w:ascii="Calibri" w:hAnsi="Calibri" w:eastAsia="PingFang SC"/>
          <w:sz w:val="19"/>
        </w:rPr>
        <w:t xml:space="preserve">[52] Guo et al. </w:t>
      </w:r>
      <w:r>
        <w:rPr>
          <w:rFonts w:ascii="Calibri" w:hAnsi="Calibri" w:eastAsia="PingFang SC"/>
          <w:i/>
          <w:sz w:val="19"/>
        </w:rPr>
        <w:t>When Personalization Legitimizes Risks: Uncovering Safety Vulnerabilities in Personalized Dialogue Agents</w:t>
      </w:r>
      <w:r>
        <w:rPr>
          <w:rFonts w:ascii="Calibri" w:hAnsi="Calibri" w:eastAsia="PingFang SC"/>
          <w:sz w:val="19"/>
        </w:rPr>
        <w:t xml:space="preserve">. ACL, 2026. </w:t>
      </w:r>
      <w:hyperlink r:id="rId64">
        <w:r>
          <w:rPr>
            <w:rFonts w:ascii="Calibri" w:hAnsi="Calibri" w:eastAsia="PingFang SC"/>
            <w:color w:val="2E74B5"/>
            <w:u w:val="single"/>
            <w:sz w:val="19"/>
            <w:szCs w:val="19"/>
          </w:rPr>
          <w:t>https://aclanthology.org/2026.acl-long.1260/</w:t>
        </w:r>
      </w:hyperlink>
    </w:p>
    <w:p>
      <w:pPr>
        <w:spacing w:after="80" w:line="264" w:lineRule="auto"/>
        <w:ind w:left="360" w:hanging="360"/>
      </w:pPr>
      <w:r>
        <w:rPr>
          <w:rFonts w:ascii="Calibri" w:hAnsi="Calibri" w:eastAsia="PingFang SC"/>
          <w:sz w:val="19"/>
        </w:rPr>
        <w:t xml:space="preserve">[53] Weeber et al. </w:t>
      </w:r>
      <w:r>
        <w:rPr>
          <w:rFonts w:ascii="Calibri" w:hAnsi="Calibri" w:eastAsia="PingFang SC"/>
          <w:i/>
          <w:sz w:val="19"/>
        </w:rPr>
        <w:t>One Persona, Many Cues, Different Results: How Sociodemographic Cues Impact LLM Personalization</w:t>
      </w:r>
      <w:r>
        <w:rPr>
          <w:rFonts w:ascii="Calibri" w:hAnsi="Calibri" w:eastAsia="PingFang SC"/>
          <w:sz w:val="19"/>
        </w:rPr>
        <w:t xml:space="preserve">. ACL, 2026. </w:t>
      </w:r>
      <w:hyperlink r:id="rId36">
        <w:r>
          <w:rPr>
            <w:rFonts w:ascii="Calibri" w:hAnsi="Calibri" w:eastAsia="PingFang SC"/>
            <w:color w:val="2E74B5"/>
            <w:u w:val="single"/>
            <w:sz w:val="19"/>
            <w:szCs w:val="19"/>
          </w:rPr>
          <w:t>https://aclanthology.org/2026.acl-long.2079/</w:t>
        </w:r>
      </w:hyperlink>
    </w:p>
    <w:p>
      <w:pPr>
        <w:spacing w:after="80" w:line="264" w:lineRule="auto"/>
        <w:ind w:left="360" w:hanging="360"/>
      </w:pPr>
      <w:r>
        <w:rPr>
          <w:rFonts w:ascii="Calibri" w:hAnsi="Calibri" w:eastAsia="PingFang SC"/>
          <w:sz w:val="19"/>
        </w:rPr>
        <w:t xml:space="preserve">[54] Qiu et al. </w:t>
      </w:r>
      <w:r>
        <w:rPr>
          <w:rFonts w:ascii="Calibri" w:hAnsi="Calibri" w:eastAsia="PingFang SC"/>
          <w:i/>
          <w:sz w:val="19"/>
        </w:rPr>
        <w:t>Preference-Aware Rubric Learning for Personalized Evaluation</w:t>
      </w:r>
      <w:r>
        <w:rPr>
          <w:rFonts w:ascii="Calibri" w:hAnsi="Calibri" w:eastAsia="PingFang SC"/>
          <w:sz w:val="19"/>
        </w:rPr>
        <w:t xml:space="preserve">. arXiv:2605.31545, 2026. </w:t>
      </w:r>
      <w:hyperlink r:id="rId37">
        <w:r>
          <w:rPr>
            <w:rFonts w:ascii="Calibri" w:hAnsi="Calibri" w:eastAsia="PingFang SC"/>
            <w:color w:val="2E74B5"/>
            <w:u w:val="single"/>
            <w:sz w:val="19"/>
            <w:szCs w:val="19"/>
          </w:rPr>
          <w:t>https://arxiv.org/abs/2605.31545</w:t>
        </w:r>
      </w:hyperlink>
    </w:p>
    <w:p>
      <w:r>
        <w:rPr>
          <w:rFonts w:ascii="Calibri" w:hAnsi="Calibri" w:eastAsia="PingFang SC"/>
          <w:b/>
        </w:rPr>
        <w:t>需要导师优先拍板的四个问题：</w:t>
      </w:r>
      <w:r>
        <w:rPr>
          <w:rFonts w:ascii="Calibri" w:hAnsi="Calibri" w:eastAsia="PingFang SC"/>
        </w:rPr>
        <w:t>（1）是否把 Evaluation Atlas、coverage manifest 和 rubric compiler 确立为论文核心贡献，而不是把“测尽所有组合”作为规模承诺；（2）是否锁定 24 family、48 user-task、三类核心 agent 与四个信号条件的两个月主矩阵；（3）是否同意 SFT scorer 不阻塞主论文，默认只作为可选附录；（4）代码 agent、多 agent 与动态用户是否只进入 8 个 anchor family，而不是要求全矩阵覆盖。</w:t>
      </w:r>
    </w:p>
    <w:sectPr w:rsidR="00FC693F" w:rsidRPr="0006063C" w:rsidSect="00034616">
      <w:headerReference w:type="default" r:id="rId31"/>
      <w:footerReference w:type="default" r:id="rId3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clanthology.org/2024.acl-long.399/" TargetMode="External"/><Relationship Id="rId12" Type="http://schemas.openxmlformats.org/officeDocument/2006/relationships/hyperlink" Target="https://aclanthology.org/2025.findings-acl.927/" TargetMode="External"/><Relationship Id="rId13" Type="http://schemas.openxmlformats.org/officeDocument/2006/relationships/hyperlink" Target="https://aclanthology.org/2024.emnlp-industry.37/" TargetMode="External"/><Relationship Id="rId14" Type="http://schemas.openxmlformats.org/officeDocument/2006/relationships/hyperlink" Target="https://aclanthology.org/2025.acl-long.1064/" TargetMode="External"/><Relationship Id="rId15" Type="http://schemas.openxmlformats.org/officeDocument/2006/relationships/hyperlink" Target="https://arxiv.org/abs/2505.13176" TargetMode="External"/><Relationship Id="rId16" Type="http://schemas.openxmlformats.org/officeDocument/2006/relationships/hyperlink" Target="https://aclanthology.org/2026.findings-acl.1676/" TargetMode="External"/><Relationship Id="rId17" Type="http://schemas.openxmlformats.org/officeDocument/2006/relationships/hyperlink" Target="https://aclanthology.org/2026.acl-long.370/" TargetMode="External"/><Relationship Id="rId18" Type="http://schemas.openxmlformats.org/officeDocument/2006/relationships/hyperlink" Target="https://aclanthology.org/2026.acl-long.1669/" TargetMode="External"/><Relationship Id="rId19" Type="http://schemas.openxmlformats.org/officeDocument/2006/relationships/hyperlink" Target="https://arxiv.org/abs/2504.14225" TargetMode="External"/><Relationship Id="rId20" Type="http://schemas.openxmlformats.org/officeDocument/2006/relationships/hyperlink" Target="https://arxiv.org/abs/2601.16621" TargetMode="External"/><Relationship Id="rId21" Type="http://schemas.openxmlformats.org/officeDocument/2006/relationships/hyperlink" Target="https://arxiv.org/abs/2602.16173" TargetMode="External"/><Relationship Id="rId22" Type="http://schemas.openxmlformats.org/officeDocument/2006/relationships/hyperlink" Target="https://arxiv.org/abs/2605.25535" TargetMode="External"/><Relationship Id="rId23" Type="http://schemas.openxmlformats.org/officeDocument/2006/relationships/hyperlink" Target="https://aclanthology.org/2026.findings-acl.1337/" TargetMode="External"/><Relationship Id="rId24" Type="http://schemas.openxmlformats.org/officeDocument/2006/relationships/hyperlink" Target="https://aclanthology.org/2026.acl-long.1549/" TargetMode="External"/><Relationship Id="rId25" Type="http://schemas.openxmlformats.org/officeDocument/2006/relationships/hyperlink" Target="https://arxiv.org/abs/2509.25106" TargetMode="External"/><Relationship Id="rId26" Type="http://schemas.openxmlformats.org/officeDocument/2006/relationships/hyperlink" Target="https://arxiv.org/abs/2605.10530" TargetMode="External"/><Relationship Id="rId27" Type="http://schemas.openxmlformats.org/officeDocument/2006/relationships/hyperlink" Target="https://aclanthology.org/2026.acl-long.723/" TargetMode="External"/><Relationship Id="rId28" Type="http://schemas.openxmlformats.org/officeDocument/2006/relationships/header" Target="header2.xml"/><Relationship Id="rId29" Type="http://schemas.openxmlformats.org/officeDocument/2006/relationships/footer" Target="footer2.xml"/><Relationship Id="rId30" Type="http://schemas.openxmlformats.org/officeDocument/2006/relationships/image" Target="media/image1.png"/><Relationship Id="rId31" Type="http://schemas.openxmlformats.org/officeDocument/2006/relationships/header" Target="header3.xml"/><Relationship Id="rId32" Type="http://schemas.openxmlformats.org/officeDocument/2006/relationships/footer" Target="footer3.xml"/><Relationship Id="rId33" Type="http://schemas.openxmlformats.org/officeDocument/2006/relationships/hyperlink" Target="https://arxiv.org/abs/2605.19276" TargetMode="External"/><Relationship Id="rId34" Type="http://schemas.openxmlformats.org/officeDocument/2006/relationships/hyperlink" Target="https://evalscope.readthedocs.io/en/refact_readme/get_started/introduction.html" TargetMode="External"/><Relationship Id="rId35" Type="http://schemas.openxmlformats.org/officeDocument/2006/relationships/hyperlink" Target="https://arxiv.org/abs/2412.14470" TargetMode="External"/><Relationship Id="rId36" Type="http://schemas.openxmlformats.org/officeDocument/2006/relationships/hyperlink" Target="https://aclanthology.org/2026.acl-long.2079/" TargetMode="External"/><Relationship Id="rId37" Type="http://schemas.openxmlformats.org/officeDocument/2006/relationships/hyperlink" Target="https://arxiv.org/abs/2605.31545" TargetMode="External"/><Relationship Id="rId38" Type="http://schemas.openxmlformats.org/officeDocument/2006/relationships/hyperlink" Target="https://macaron.im/mindlab/research/macaron-v1-preview" TargetMode="External"/><Relationship Id="rId39" Type="http://schemas.openxmlformats.org/officeDocument/2006/relationships/hyperlink" Target="https://arxiv.org/abs/2506.11763" TargetMode="External"/><Relationship Id="rId40" Type="http://schemas.openxmlformats.org/officeDocument/2006/relationships/hyperlink" Target="https://arxiv.org/abs/2506.21506" TargetMode="External"/><Relationship Id="rId41" Type="http://schemas.openxmlformats.org/officeDocument/2006/relationships/hyperlink" Target="https://arxiv.org/abs/2508.06600" TargetMode="External"/><Relationship Id="rId42" Type="http://schemas.openxmlformats.org/officeDocument/2006/relationships/hyperlink" Target="https://openai.com/index/paperbench/" TargetMode="External"/><Relationship Id="rId43" Type="http://schemas.openxmlformats.org/officeDocument/2006/relationships/hyperlink" Target="https://livedeepresearch.github.io/" TargetMode="External"/><Relationship Id="rId44" Type="http://schemas.openxmlformats.org/officeDocument/2006/relationships/hyperlink" Target="https://arxiv.org/abs/2505.19253" TargetMode="External"/><Relationship Id="rId45" Type="http://schemas.openxmlformats.org/officeDocument/2006/relationships/hyperlink" Target="https://arxiv.org/abs/2510.00172" TargetMode="External"/><Relationship Id="rId46" Type="http://schemas.openxmlformats.org/officeDocument/2006/relationships/hyperlink" Target="https://livebench.ai/" TargetMode="External"/><Relationship Id="rId47" Type="http://schemas.openxmlformats.org/officeDocument/2006/relationships/hyperlink" Target="https://arxiv.org/abs/2310.17631" TargetMode="External"/><Relationship Id="rId48" Type="http://schemas.openxmlformats.org/officeDocument/2006/relationships/hyperlink" Target="https://arxiv.org/abs/2405.01535" TargetMode="External"/><Relationship Id="rId49" Type="http://schemas.openxmlformats.org/officeDocument/2006/relationships/hyperlink" Target="https://arxiv.org/abs/2403.02839" TargetMode="External"/><Relationship Id="rId50" Type="http://schemas.openxmlformats.org/officeDocument/2006/relationships/hyperlink" Target="https://arxiv.org/abs/2508.04183" TargetMode="External"/><Relationship Id="rId51" Type="http://schemas.openxmlformats.org/officeDocument/2006/relationships/hyperlink" Target="https://arxiv.org/abs/2511.07685" TargetMode="External"/><Relationship Id="rId52" Type="http://schemas.openxmlformats.org/officeDocument/2006/relationships/hyperlink" Target="https://arxiv.org/abs/2407.15711" TargetMode="External"/><Relationship Id="rId53" Type="http://schemas.openxmlformats.org/officeDocument/2006/relationships/hyperlink" Target="https://arxiv.org/abs/2402.17896" TargetMode="External"/><Relationship Id="rId54" Type="http://schemas.openxmlformats.org/officeDocument/2006/relationships/hyperlink" Target="https://arxiv.org/abs/2507.16280" TargetMode="External"/><Relationship Id="rId55" Type="http://schemas.openxmlformats.org/officeDocument/2006/relationships/hyperlink" Target="https://arxiv.org/abs/2607.27056" TargetMode="External"/><Relationship Id="rId56" Type="http://schemas.openxmlformats.org/officeDocument/2006/relationships/hyperlink" Target="https://arxiv.org/abs/2607.21635" TargetMode="External"/><Relationship Id="rId57" Type="http://schemas.openxmlformats.org/officeDocument/2006/relationships/hyperlink" Target="https://arxiv.org/abs/2607.20482" TargetMode="External"/><Relationship Id="rId58" Type="http://schemas.openxmlformats.org/officeDocument/2006/relationships/hyperlink" Target="https://arxiv.org/abs/2607.15948" TargetMode="External"/><Relationship Id="rId59" Type="http://schemas.openxmlformats.org/officeDocument/2006/relationships/hyperlink" Target="https://arxiv.org/abs/2607.12254" TargetMode="External"/><Relationship Id="rId60" Type="http://schemas.openxmlformats.org/officeDocument/2006/relationships/hyperlink" Target="https://arxiv.org/abs/2607.10526" TargetMode="External"/><Relationship Id="rId61" Type="http://schemas.openxmlformats.org/officeDocument/2006/relationships/hyperlink" Target="https://arxiv.org/abs/2607.03162" TargetMode="External"/><Relationship Id="rId62" Type="http://schemas.openxmlformats.org/officeDocument/2006/relationships/hyperlink" Target="https://aclanthology.org/2026.acl-long.2033/" TargetMode="External"/><Relationship Id="rId63" Type="http://schemas.openxmlformats.org/officeDocument/2006/relationships/hyperlink" Target="https://aclanthology.org/2025.emnlp-main.1711/" TargetMode="External"/><Relationship Id="rId64" Type="http://schemas.openxmlformats.org/officeDocument/2006/relationships/hyperlink" Target="https://aclanthology.org/2026.acl-long.1260/" TargetMode="External"/><Relationship Id="rId65" Type="http://schemas.openxmlformats.org/officeDocument/2006/relationships/hyperlink" Target="https://aclanthology.org/2026.findings-acl.31/" TargetMode="External"/><Relationship Id="rId66" Type="http://schemas.openxmlformats.org/officeDocument/2006/relationships/hyperlink" Target="https://aclanthology.org/2020.acl-main.442/" TargetMode="External"/><Relationship Id="rId67" Type="http://schemas.openxmlformats.org/officeDocument/2006/relationships/hyperlink" Target="https://arxiv.org/abs/2211.09110" TargetMode="External"/><Relationship Id="rId68" Type="http://schemas.openxmlformats.org/officeDocument/2006/relationships/hyperlink" Target="https://arxiv.org/abs/2411.12990" TargetMode="External"/><Relationship Id="rId69" Type="http://schemas.openxmlformats.org/officeDocument/2006/relationships/hyperlink" Target="https://papers.neurips.cc/paper_files/paper/2025/hash/76175f4355e2f67cf91be468c8860070-Abstract-Datasets_and_Benchmarks_Tra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