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从绝对适配到反事实用户特异性</w:t>
      </w:r>
    </w:p>
    <w:p>
      <w:pPr>
        <w:spacing w:after="520"/>
        <w:jc w:val="center"/>
        <w:pBdr>
          <w:bottom w:val="single" w:sz="8" w:space="8" w:color="7A9BB7"/>
        </w:pBdr>
      </w:pPr>
      <w:r>
        <w:rPr>
          <w:rFonts w:ascii="Calibri" w:hAnsi="Calibri" w:eastAsia="PingFang SC"/>
          <w:b/>
          <w:color w:val="5B6B7A"/>
          <w:sz w:val="21"/>
        </w:rPr>
        <w:t>Interactive Agents · Personalization · Deep Research</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v0.48 · GPT-5 复现预注册版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五天冻结门、贡献与主张边界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absolute adaptation 与 counterfactual specificity 的区别；指标、反例实验和五天冻结门是当前版本的决策重点。</w:t>
      </w:r>
    </w:p>
    <w:p>
      <w:r>
        <w:br w:type="page"/>
      </w:r>
    </w:p>
    <w:p>
      <w:pPr>
        <w:pStyle w:val="Heading1"/>
      </w:pPr>
      <w:r>
        <w:t>研究概要</w:t>
      </w:r>
    </w:p>
    <w:p>
      <w:r>
        <w:rPr>
          <w:rFonts w:ascii="Calibri" w:hAnsi="Calibri" w:eastAsia="PingFang SC"/>
        </w:rPr>
        <w:t>Deep Research 智能体已经能检索、综合并生成长报告，PDR-Bench 也已经建立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但一个单用户绝对分仍不能回答另一个构念：</w:t>
      </w:r>
      <w:r>
        <w:rPr>
          <w:rFonts w:ascii="Calibri" w:hAnsi="Calibri" w:eastAsia="PingFang SC"/>
          <w:b/>
        </w:rPr>
        <w:t>只改变目标用户、固定任务和证据后，系统是否会发生方向正确且只对该用户必要的变化。</w:t>
      </w:r>
      <w:r>
        <w:rPr>
          <w:rFonts w:ascii="Calibri" w:hAnsi="Calibri" w:eastAsia="PingFang SC"/>
        </w:rPr>
        <w:t xml:space="preserve"> 一份高质量通用报告可能对两位用户都拿高分；一份反复提及 persona 的报告也可能在最终决策上用错约束。DeepAlign-Bench 的主目标是识别这种 counterfactual user specificity，而不是再造一个更复杂的绝对适配总分。</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因此，v0.48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两个月版本先完成 3 个完整 family 的官方 judge + 真人校准，再扩到约 12–24 个 family、2–3 条 agent 管线和至少三种 user-information channel。主渠道是 structured persona 与 natural history；新增的交互渠道是 </w:t>
      </w:r>
      <w:r>
        <w:rPr>
          <w:rFonts w:ascii="Calibri" w:hAnsi="Calibri" w:eastAsia="PingFang SC"/>
          <w:b/>
        </w:rPr>
        <w:t>模糊但足以开始的 query → agent 可选择澄清 → ledger-bounded 用户回答 → final report</w:t>
      </w:r>
      <w:r>
        <w:rPr>
          <w:rFonts w:ascii="Calibri" w:hAnsi="Calibri" w:eastAsia="PingFang SC"/>
        </w:rPr>
        <w:t>。它用同一隐藏 user-state ledger 和同一最终 rubric，但单独记录提问收益、轮数、打扰和隐私，不与直接提供 persona 的 cue-equivalence 集混为一谈。长程、动态状态和权限只作为少量 stress layer。</w:t>
      </w:r>
    </w:p>
    <w:p>
      <w:r>
        <w:rPr>
          <w:rFonts w:ascii="Calibri" w:hAnsi="Calibri" w:eastAsia="PingFang SC"/>
          <w:b/>
        </w:rPr>
        <w:t>一句话研究目标：</w:t>
      </w:r>
      <w:r>
        <w:rPr>
          <w:rFonts w:ascii="Calibri" w:hAnsi="Calibri" w:eastAsia="PingFang SC"/>
        </w:rPr>
        <w:t>在固定任务、证据、工具和预算时，检验 Deep Research agent 的最终交付物是否同时具有双向反事实用户特异性、绝对合格、相对通用回答的真实收益、共同质量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整体框架与 PDR-compatible 压力测试</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整体框架与PDR压力测试_v0.48.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case/task/user 元数据和多种信息渠道，到 2×2 交叉评分、五道非补偿门、系统能力地图、方向性最小实验与 ICLR 五天冻结门。</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RQ3（渠道鲁棒性）：</w:t>
      </w:r>
      <w:r>
        <w:rPr>
          <w:rFonts w:ascii="Calibri" w:hAnsi="Calibri" w:eastAsia="PingFang SC"/>
        </w:rPr>
        <w:t>同一隐藏 user state 经 structured persona、natural history 或模糊 query + clarification 获得时，系统排序和关键决策是否稳定；clarification 的收益是否足以抵消交互成本？</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7"/>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8"/>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8"/>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28"/>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28"/>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1">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2">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3">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4">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5">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6">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7">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8">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0"/>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0"/>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0"/>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0"/>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0"/>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0"/>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17.9 ICLR 2027 的五天方向冻结门</w:t>
      </w:r>
    </w:p>
    <w:p>
      <w:r>
        <w:rPr>
          <w:rFonts w:ascii="Calibri" w:hAnsi="Calibri" w:eastAsia="PingFang SC"/>
        </w:rPr>
        <w:t>ICLR 2027 官方 Author Guidelines 给出的 abstract deadline 是 2026-09-11 AOE，paper deadline 是 2026-09-16 AOE。以 2026-08-12 计算，距离摘要约 30 天、全文约 35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leaf、样本、实现细节和写法。若五天后仍在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1"/>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1"/>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1"/>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1"/>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89">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1">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2">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4">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6">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8">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0">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arxiv.org/abs/2507.21071" TargetMode="External"/><Relationship Id="rId82" Type="http://schemas.openxmlformats.org/officeDocument/2006/relationships/hyperlink" Target="https://openreview.net/pdf/c2a76eb44300a738cbd7cb95f5bc04df621f4d25.pdf" TargetMode="External"/><Relationship Id="rId83" Type="http://schemas.openxmlformats.org/officeDocument/2006/relationships/hyperlink" Target="https://openreview.net/pdf?id=oKn9c6ytLx" TargetMode="External"/><Relationship Id="rId84" Type="http://schemas.openxmlformats.org/officeDocument/2006/relationships/hyperlink" Target="https://arxiv.org/abs/2510.21652" TargetMode="External"/><Relationship Id="rId85" Type="http://schemas.openxmlformats.org/officeDocument/2006/relationships/hyperlink" Target="https://arxiv.org/abs/2505.21936" TargetMode="External"/><Relationship Id="rId86" Type="http://schemas.openxmlformats.org/officeDocument/2006/relationships/hyperlink" Target="https://media.iclr.cc/Conferences/ICLR2024/ICLR2024-Fact_Sheet.pdf" TargetMode="External"/><Relationship Id="rId87" Type="http://schemas.openxmlformats.org/officeDocument/2006/relationships/hyperlink" Target="https://media.iclr.cc/Conferences/ICLR2026/ICLR2026_Fact_Sheet.pdf" TargetMode="External"/><Relationship Id="rId88" Type="http://schemas.openxmlformats.org/officeDocument/2006/relationships/hyperlink" Target="https://arxiv.org/abs/2510.18560" TargetMode="External"/><Relationship Id="rId89" Type="http://schemas.openxmlformats.org/officeDocument/2006/relationships/hyperlink" Target="https://openreview.net/pdf?id=zAdUB0aCTQ" TargetMode="External"/><Relationship Id="rId90"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