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v0.31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检验 specificity，用 task-only uplift 检验真实受益，再用质量与边界门槛排除伪个性化。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[12]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[14]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[10]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RQ3：长程保持与更新。</w:t>
      </w:r>
      <w:r>
        <w:rPr>
          <w:rFonts w:ascii="Calibri" w:hAnsi="Calibri" w:eastAsia="PingFang SC"/>
        </w:rPr>
        <w:t xml:space="preserve"> 上下文稀释、信息冲突、agent 交接和用户状态更新如何影响用户适配？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长上下文干扰使用户特异适配比共同任务质量下降更快；动态状态变化后旧状态残留率随压力增加。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类型在忽略约束、信息冲突、过度个性化、保持和更新失败上存在可重复差异。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需求剖面”组织。多篇论文不直接求 taxonomy 并集，而先进入 source-to-design ledger：每个来源分别标为 task seed、用户 construct、perturbation、rubric/judge 或 infrastructure，并记录采用、修改和拒绝项。每个 family 依次完成：一个端到端 vertical slice → 真实需求 seed → 冻结 task/evidence/deliverable core → 标注 stratum/intent/demand → 配对 user states → 冻结差异契约 → 编译 module/leaves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2–4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 和动态更新，共享前缀分叉形成压力与机制榜。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用平衡不完全区组分配。若要跨任务比较“long context、conflict、handoff 哪种伤害更大”，主要 perturbation 至少落到 4 个适用 anchor；只落到 2 个时仅作探索性复现。Anchor 通过同任务、同前缀 control 估计受控扰动敏感度，不能仅凭异构任务相关性声称找到了内部根因。结果分四层报 base task profile、signal board、S0–S3 stress curve 和 boundary/governance board。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dynamic-update 的受控压力分叉做机制诊断。如果该子集未完成，论文只报告最终交付物个性化，不声称已定位内部偏移机制。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Compiler 已有机器可读 contract 和固定模板设计，不是让 LLM 对每份输出临时写 rubric。输入是冻结的 case metadata、user-state ledger、证据/权限和四类 contract；流程为：</w:t>
      </w:r>
      <w:r>
        <w:rPr>
          <w:rFonts w:ascii="Courier New" w:hAnsi="Courier New" w:eastAsia="PingFang SC"/>
          <w:color w:val="6A3E00"/>
          <w:sz w:val="20"/>
        </w:rPr>
        <w:t>validate → 路由 module → 选择 direction node → 填入预算/证据/用户参数 → leaf expansion → 校验并冻结 bundle</w:t>
      </w:r>
      <w:r>
        <w:rPr>
          <w:rFonts w:ascii="Calibri" w:hAnsi="Calibri" w:eastAsia="PingFang SC"/>
        </w:rPr>
        <w:t>。Module 是父级能力域，node 是“满足硬预算、匹配知识深度、遵守披露边界”这类可复用方向，leaf 才是 case-specific 原子标准。Leaf expansion 仍在运行前完成；自动 validator 和 compiler 是第 1 周实现项。</w:t>
      </w:r>
    </w:p>
    <w:p>
      <w:r>
        <w:rPr>
          <w:rFonts w:ascii="Calibri" w:hAnsi="Calibri" w:eastAsia="PingFang SC"/>
        </w:rPr>
        <w:t xml:space="preserve">固定模板分六层：core 所有 case 必选；personalization 由 task-relevant user facts 和 must-change 激活；intent 由六类研究意图选择；deliverable 由 report / memo / workbook / code / slides / webpage / multi-file 选择；operator 用于 acquire/preserve/use/update 诊断；risk 由 stakes、permission、敏感信息和 must-not 激活。统一的是 leaf schema、适用条件和聚合规则，而不是让所有任务共用一张表。每条 leaf 显式记录 </w:t>
      </w:r>
      <w:r>
        <w:rPr>
          <w:rFonts w:ascii="Courier New" w:hAnsi="Courier New" w:eastAsia="PingFang SC"/>
          <w:color w:val="6A3E00"/>
          <w:sz w:val="20"/>
        </w:rPr>
        <w:t>criterion_id</w:t>
      </w:r>
      <w:r>
        <w:rPr>
          <w:rFonts w:ascii="Calibri" w:hAnsi="Calibri" w:eastAsia="PingFang SC"/>
        </w:rPr>
        <w:t xml:space="preserve">、rubric owner、observable、evidence、scoring anchors、weight、hard gate、judge route 和 </w:t>
      </w:r>
      <w:r>
        <w:rPr>
          <w:rFonts w:ascii="Courier New" w:hAnsi="Courier New" w:eastAsia="PingFang SC"/>
          <w:color w:val="6A3E00"/>
          <w:sz w:val="20"/>
        </w:rPr>
        <w:t>direct_metric_bindings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预定义 library 有 36 个 module：6 Core、9 Personalization、6 Intent、7 Deliverable、4 Operator、4 Risk；每个 case 只激活适用子集。report/memo/table 先以 12–22 active leaves 做主矩阵，code/slides/web/multi-file 先作为 probe。相对 PDR-Bench 的重点不是“维度更多”，而是 module 版本预冻结、每个 personalization leaf 追溯到授权 user fact + must-change、同一 PF bundle 交叉评 matched/swapped，并用 must-hold/must-not 防止差异和过度个性化冒充分数。完整库见 </w:t>
      </w: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r>
        <w:rPr>
          <w:rFonts w:ascii="Calibri" w:hAnsi="Calibri" w:eastAsia="PingFang SC"/>
        </w:rPr>
        <w:t>绑定规则固定为：common/intent/deliverable leaves → TQ（事实项同时 → FR）；must-change leaves → 指定用户的 PF；must-hold leaves → TQ + Neutral Invariance；must-not violations → MP / hard gate；clarify leaves → Clarification Correctness，无依据假设另入 MP；operator leaves → 与同前缀 clean control 的诊断差分。库的“全面性”由 content mapping、matched/swapped 区分力、无关 cue invariance、module 去重/消融、权重与 active/NA 分母敏感性、目标用户/专家效度和 residual-error saturation 共同验证，不由 module 数量证明。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  <w:r>
        <w:rPr>
          <w:rFonts w:ascii="Calibri" w:hAnsi="Calibri" w:eastAsia="PingFang SC"/>
        </w:rPr>
        <w:t xml:space="preserve"> CFA 不直接绑定 leaf。先保留 </w:t>
      </w:r>
      <w:r>
        <w:rPr>
          <w:rFonts w:ascii="Courier New" w:hAnsi="Courier New" w:eastAsia="PingFang SC"/>
          <w:color w:val="6A3E00"/>
          <w:sz w:val="20"/>
        </w:rPr>
        <w:t>Δ_a=PF_a(Y_a)-PF_a(Y_b)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Δ_b=PF_b(Y_b)-PF_b(Y_a)</w:t>
      </w:r>
      <w:r>
        <w:rPr>
          <w:rFonts w:ascii="Calibri" w:hAnsi="Calibri" w:eastAsia="PingFang SC"/>
        </w:rPr>
        <w:t xml:space="preserve">，再报告 </w:t>
      </w:r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 xml:space="preserve"> 和不可方向补偿的 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；只有两方向都为正才算 bilateral success；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 uplift：</w:t>
      </w:r>
      <w:r>
        <w:rPr>
          <w:rFonts w:ascii="Calibri" w:hAnsi="Calibri" w:eastAsia="PingFang SC"/>
        </w:rPr>
        <w:t xml:space="preserve"> 利用主矩阵已有 </w:t>
      </w:r>
      <w:r>
        <w:rPr>
          <w:rFonts w:ascii="Courier New" w:hAnsi="Courier New" w:eastAsia="PingFang SC"/>
          <w:color w:val="6A3E00"/>
          <w:sz w:val="20"/>
        </w:rPr>
        <w:t>Y_0</w:t>
      </w:r>
      <w:r>
        <w:rPr>
          <w:rFonts w:ascii="Calibri" w:hAnsi="Calibri" w:eastAsia="PingFang SC"/>
        </w:rPr>
        <w:t xml:space="preserve">，报告 </w:t>
      </w:r>
      <w:r>
        <w:rPr>
          <w:rFonts w:ascii="Courier New" w:hAnsi="Courier New" w:eastAsia="PingFang SC"/>
          <w:color w:val="6A3E00"/>
          <w:sz w:val="20"/>
        </w:rPr>
        <w:t>G_a=PF_a(Y_a)-PF_a(Y_0)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G_b=PF_b(Y_b)-PF_b(Y_0)</w:t>
      </w:r>
      <w:r>
        <w:rPr>
          <w:rFonts w:ascii="Calibri" w:hAnsi="Calibri" w:eastAsia="PingFang SC"/>
        </w:rPr>
        <w:t xml:space="preserve"> 及 mean/min；它把“能区分用户”和“确实让用户受益”分开；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Update：</w:t>
      </w:r>
      <w:r>
        <w:rPr>
          <w:rFonts w:ascii="Calibri" w:hAnsi="Calibri" w:eastAsia="PingFang SC"/>
        </w:rPr>
        <w:t xml:space="preserve"> 长程干扰下的适配保留率、动态状态采用正确率与旧状态残留率。</w:t>
      </w:r>
    </w:p>
    <w:p>
      <w:r>
        <w:rPr>
          <w:rFonts w:ascii="Calibri" w:hAnsi="Calibri" w:eastAsia="PingFang SC"/>
        </w:rPr>
        <w:t xml:space="preserve">主榜先应用 TQ、FR 和关键隐私/安全门槛，再把 personalization 作为二维 profile 报告：跨用户 specificity（CFA）× 相对 task-only benefit（Gain）。只有 </w:t>
      </w:r>
      <w:r>
        <w:rPr>
          <w:rFonts w:ascii="Courier New" w:hAnsi="Courier New" w:eastAsia="PingFang SC"/>
          <w:color w:val="6A3E00"/>
          <w:sz w:val="20"/>
        </w:rPr>
        <w:t>Δ_a,Δ_b&gt;0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G_a,G_b≥0</w:t>
      </w:r>
      <w:r>
        <w:rPr>
          <w:rFonts w:ascii="Calibri" w:hAnsi="Calibri" w:eastAsia="PingFang SC"/>
        </w:rPr>
        <w:t xml:space="preserve"> 且共同质量/边界过门，才进入确认性成功率；不把这些指标平均成可补偿总分。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Task 元数据分层处理：来源、许可、时间、哈希、工具和预算可自动导入后人工审计；intent、stakes、interaction need、counterfactual axes 与四类 contract 必须在运行前由两人独立人工标注并仲裁；实际难度、失败率和 judge agreement 只能在 pilot 后另存为 observed 字段。每个 task-persona 对必须通过六项门槛：场景真实、决策相关、用户间可区分、存在共同核心、信息最少且隐私可控、不依赖刻板印象。人类真值分工固定：领域专家评事实、证据和共同质量，目标用户确认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[16]</w:t>
        </w:r>
      </w:hyperlink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确认性分析以 task family 为聚类单位，对双向 CFA 与 task-only uplift 做 family-blocked permutation test 和 cluster bootstrap；同一 family 的四格评分不当作独立样本。目标用户盲评报告 matched/swapped/task-only 的 pairwise match win probability（tie=0.5）；带 family/user/rater 随机效应的 Bradley–Terry 或 ordinal mixed model仅作数据量足够时的敏感性分析。排名差异若小于人评与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交叉评分、双向非补偿门和 task-only uplift，分别识别用户特异性与真实受益；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参考交付物在共同质量达标时对两个用户都显示 matched 优于 swapped，且相对 task-only 的双向 uplift 不为负；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1–2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Atlas/schema；完成 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缩小 ontology；删除无稳定用户差异的任务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3–4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真值/契约/rubric；240-unit JudgeBench 与 6-family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无区分力 module 不进主榜；judge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5–6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三类核心 agent 主矩阵、anchor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冻结 agent；只保留证据充分的过程结论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7–8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统计、覆盖/消融、结果冻结、复现、全文和匿名材料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删除不受支持的支线；不再增加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Core，论文仅声称测量最终交付物的用户适配。只有当轨迹审计与受控压力分叉完成时，才报告保持与更新机制。本项目不声称首版覆盖所有 Deep Research 模式，只对 coverage manifest 中标记为 tested 的组合作结论。</w:t>
      </w:r>
    </w:p>
    <w:p>
      <w:pPr>
        <w:pStyle w:val="Heading2"/>
      </w:pPr>
      <w:r>
        <w:t>8.4 开工顺序与 ICLR readiness</w:t>
      </w:r>
    </w:p>
    <w:p>
      <w:r>
        <w:rPr>
          <w:rFonts w:ascii="Calibri" w:hAnsi="Calibri" w:eastAsia="PingFang SC"/>
        </w:rPr>
        <w:t>先从 60–80 个 seed 筛约 30 个候选，只做 3 个完整 family；优先两位真实用户，至少 2 个通过 specificity、benefit、共同质量与边界四重门后才扩到 24。工程顺序为 E1 主轨（1.5–2.5 周）→ E3 单 anchor（追加 2–4 周）→ E2 单产品观察性 probe（3–7 天+维护）。</w:t>
      </w:r>
      <w:hyperlink r:id="rId35">
        <w:r>
          <w:rPr>
            <w:rFonts w:ascii="Calibri" w:hAnsi="Calibri" w:eastAsia="PingFang SC"/>
            <w:color w:val="2E74B5"/>
            <w:u w:val="single"/>
          </w:rPr>
          <w:t>ICLR 官方数据</w:t>
        </w:r>
      </w:hyperlink>
      <w:r>
        <w:rPr>
          <w:rFonts w:ascii="Calibri" w:hAnsi="Calibri" w:eastAsia="PingFang SC"/>
        </w:rPr>
        <w:t>显示近年总体录用率约 27%–32%；本稿无 pilot 约 5%–12%，合格执行约 20%–35%，强结果约 35%–50%，中心判断约三成。它是审稿风险区间，不是校准概率。</w:t>
      </w:r>
    </w:p>
    <w:p>
      <w:pPr>
        <w:sectPr>
          <w:headerReference w:type="default" r:id="rId33"/>
          <w:footerReference w:type="default" r:id="rId34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OpenCompass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EvalScope documentation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LiveResearchBench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PaperBench</w:t>
        </w:r>
      </w:hyperlink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Setoka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PersonaTrail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TARS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Agents Don't Just Agree, They Remember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</w:t>
      </w:r>
      <w:hyperlink r:id="rId2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APeB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LaMP</w:t>
        </w:r>
      </w:hyperlink>
      <w:r>
        <w:rPr>
          <w:rFonts w:ascii="Calibri" w:hAnsi="Calibri" w:eastAsia="PingFang SC"/>
          <w:sz w:val="15"/>
        </w:rPr>
        <w:t>. ACL,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PersonaLens</w:t>
        </w:r>
      </w:hyperlink>
      <w:r>
        <w:rPr>
          <w:rFonts w:ascii="Calibri" w:hAnsi="Calibri" w:eastAsia="PingFang SC"/>
          <w:sz w:val="15"/>
        </w:rPr>
        <w:t>. Findings of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ETAPP</w:t>
        </w:r>
      </w:hyperlink>
      <w:r>
        <w:rPr>
          <w:rFonts w:ascii="Calibri" w:hAnsi="Calibri" w:eastAsia="PingFang SC"/>
          <w:sz w:val="15"/>
        </w:rPr>
        <w:t>. ACL,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PersonaMem</w:t>
        </w:r>
      </w:hyperlink>
      <w:r>
        <w:rPr>
          <w:rFonts w:ascii="Calibri" w:hAnsi="Calibri" w:eastAsia="PingFang SC"/>
          <w:sz w:val="15"/>
        </w:rPr>
        <w:t>.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Personalized Deep Research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Learning Personalized Agents from Human Feedback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Mem2ActBench</w:t>
        </w:r>
      </w:hyperlink>
      <w:r>
        <w:rPr>
          <w:rFonts w:ascii="Calibri" w:hAnsi="Calibri" w:eastAsia="PingFang SC"/>
          <w:sz w:val="15"/>
        </w:rPr>
        <w:t>. ACL,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When Personalization Legitimizes Risks</w:t>
        </w:r>
      </w:hyperlink>
      <w:r>
        <w:rPr>
          <w:rFonts w:ascii="Calibri" w:hAnsi="Calibri" w:eastAsia="PingFang SC"/>
          <w:sz w:val="15"/>
        </w:rPr>
        <w:t>. ACL,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hyperlink" Target="https://media.iclr.cc/Conferences/ICLR2026/ICLR2026_Fact_Shee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