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v0.31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fit 转向 counterfactual identification：同时测哪份结果更适合哪位用户，以及它是否比 task-only 真正更有用。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pilot。元数据分为自动导入并审计的 provenance、运行前双人标注/仲裁的构念字段、pilot 后另存的 observed 难度与失败；不能看到输出后改预期标签。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实操采用：约 32–40 位参与者各选 1–2 个真实相关 task shell → 30–45 分钟结构化 elicitation → task-relevant fact ledger → Ua/Ub 共享核心 → 只改 2–4 个决策相关字段 → fact-to-contract map → 从同一 ledger 编译 persona/history/clarification → wrong-user/irrelevant/stale 负对照 → 原用户、相似用户、专家验证。Gold 优先两位真实用户；次选一位真实用户加第二位相似参与者确认的最小编辑；纯合成只作对照。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用平衡不完全区组分配。跨任务比较某种 perturbation 时至少覆盖 4 个适用 anchor；2 个只算探索性复现。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 和旧状态残留率；同时报告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r>
        <w:rPr>
          <w:rFonts w:ascii="Calibri" w:hAnsi="Calibri" w:eastAsia="PingFang SC"/>
        </w:rPr>
        <w:t>开工顺序：先用 2 family × 2 agent 跑通 E1；再用 1 个 anchor 跑通 E3 checkpoint/conflict/update；最后做 1 个 E2 产品 adapter smoke test。三条轨道不同时搭满。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module</w:t>
        <w:br/>
        <w:t>→ 选择 direction node → 填入 case 参数 → leaf expansion → 校验 → 冻结 rubric bundle</w:t>
      </w:r>
    </w:p>
    <w:p>
      <w:r>
        <w:rPr>
          <w:rFonts w:ascii="Calibri" w:hAnsi="Calibri" w:eastAsia="PingFang SC"/>
        </w:rPr>
        <w:t>有六个相互衔接的机器可读对象：case schema、固定模板 registry、36-module library、固定 leaf schema、metric binding schema 和 data-factory protocol。模板路由随元数据变化：六类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</w:rPr>
        <w:t>现在另有一份 36-module library：6 Core + 9 Personalization + 6 Intent + 7 Deliverable + 4 Operator + 4 Risk。每个 case 只激活适用子集。强点不是“比 PDR-Bench 多几维”，而是每个 personalization leaf 有 user fact + must-change provenance、A/B 模块对称、同一 bundle 交叉评 matched/swapped，并用 must-hold/must-not 阻止无效差异和过度个性化。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v0.31 已增加 direction-node registry、分层标注和环境开工协议；自动 validator、模板路由器和 bundle 导出器仍是第 1 周工程任务。Module 是父级能力域，node 是可复用评价方向，leaf 才是带用户、阈值、证据和锚点的 case-specific 标准。只有同一残余构念在至少两个 family 重复且无法参数化现有 node 时才扩库。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Δa / Δb；CFA mean/min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是否在两个用户方向都优于 swapped，避免正负抵消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Gain mean/min vs task-only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个性化是否真的让两位用户受益，而不只是把版本做得不同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主榜先过 TQ、FR 和关键隐私门槛，再把个性化画成 </w:t>
      </w:r>
      <w:r>
        <w:rPr>
          <w:rFonts w:ascii="Courier New" w:hAnsi="Courier New" w:eastAsia="PingFang SC"/>
          <w:color w:val="6A3E00"/>
          <w:sz w:val="20"/>
        </w:rPr>
        <w:t>specificity × benefit</w:t>
      </w:r>
      <w:r>
        <w:rPr>
          <w:rFonts w:ascii="Calibri" w:hAnsi="Calibri" w:eastAsia="PingFang SC"/>
        </w:rPr>
        <w:t xml:space="preserve"> 二维结果。只有双向 matched&gt;swapped、双向不劣于 task-only、共同质量稳定且边界不违规，才记为 confirmatory success。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对角优势，用 task-only uplift 区分“版本可区分”和“用户真受益”，并以双向非补偿门防止一位用户的收益掩盖另一位用户的损失；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p>
      <w:r>
        <w:rPr>
          <w:rFonts w:ascii="Calibri" w:hAnsi="Calibri" w:eastAsia="PingFang SC"/>
        </w:rPr>
        <w:t>先做 3 个完整 vertical-slice family，不直接批量写 24 个。至少 2 个通过 specificity、benefit、共同质量和边界四重门后再扩。环境顺序与粗工期：E1 Frozen 主轨约 1.5–2.5 engineer-weeks；E3 一个 stateful anchor 在 E1 后约 2–4 周；E2 单产品 adapter 约 3–7 天但持续维护，只作观察性外部效度。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  <w:b/>
        </w:rPr>
        <w:t>ICLR readiness：</w:t>
      </w:r>
      <w:r>
        <w:rPr>
          <w:rFonts w:ascii="Calibri" w:hAnsi="Calibri" w:eastAsia="PingFang SC"/>
        </w:rPr>
        <w:t>官方近年总体录用率约 27%–32%。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r>
        <w:rPr>
          <w:rFonts w:ascii="Calibri" w:hAnsi="Calibri" w:eastAsia="PingFang SC"/>
        </w:rPr>
        <w:t xml:space="preserve"> 当前无 pilot 直接投稿主观约 5%–12%；完成真人验证、24 family、可靠 E1、judge 校准和公开 artifact 但效应中等约 20%–35%；若 specificity × benefit 跨 strata 稳定且四重门、强 baseline 和复现都通过，约 35%–50%。按本方案执行的中心判断约三成；这是风险情景，不是精确概率。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matched/swapped，或 matched 只是比 swapped 好却不优于 task-only，个性化结论没有意义；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[23] ICLR. </w:t>
      </w:r>
      <w:r>
        <w:rPr>
          <w:rFonts w:ascii="Calibri" w:hAnsi="Calibri" w:eastAsia="PingFang SC"/>
          <w:i/>
          <w:sz w:val="14"/>
        </w:rPr>
        <w:t>ICLR 2024 Fact Sheet</w:t>
      </w:r>
      <w:r>
        <w:rPr>
          <w:rFonts w:ascii="Calibri" w:hAnsi="Calibri" w:eastAsia="PingFang SC"/>
          <w:sz w:val="14"/>
        </w:rPr>
        <w:t xml:space="preserve">.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https://media.iclr.cc/Conferences/ICLR2024/ICLR2024-Fact_Sheet.pdf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[24] ICLR. </w:t>
      </w:r>
      <w:r>
        <w:rPr>
          <w:rFonts w:ascii="Calibri" w:hAnsi="Calibri" w:eastAsia="PingFang SC"/>
          <w:i/>
          <w:sz w:val="14"/>
        </w:rPr>
        <w:t>ICLR 2026 Fact Sheet</w:t>
      </w:r>
      <w:r>
        <w:rPr>
          <w:rFonts w:ascii="Calibri" w:hAnsi="Calibri" w:eastAsia="PingFang SC"/>
          <w:sz w:val="14"/>
        </w:rPr>
        <w:t xml:space="preserve">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https://media.iclr.cc/Conferences/ICLR2026/ICLR2026_Fact_Sheet.pdf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Relationship Id="rId27" Type="http://schemas.openxmlformats.org/officeDocument/2006/relationships/hyperlink" Target="https://media.iclr.cc/Conferences/ICLR2024/ICLR2024-Fact_Sheet.pdf" TargetMode="External"/><Relationship Id="rId28" Type="http://schemas.openxmlformats.org/officeDocument/2006/relationships/hyperlink" Target="https://media.iclr.cc/Conferences/ICLR2026/ICLR2026_Fact_Shee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