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v0.31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8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固定任务与证据，只改变目标用户；同时检验跨用户 specificity 与相对 task-only benefit，并以共同质量和边界门槛排除有害的伪个性化。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一页主张图。有效个性化同时要求双向 matched 优势、相对 task-only 受益、共同质量稳定和边界不违规。</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，因此另报告实际受益而非仅仅可区分：</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w:t>
      </w:r>
      <w:r>
        <w:rPr>
          <w:rFonts w:ascii="Courier New" w:hAnsi="Courier New" w:eastAsia="PingFang SC"/>
          <w:color w:val="6A3E00"/>
          <w:sz w:val="20"/>
        </w:rPr>
        <w:t>Gain_mean = (G_a + G_b)/2</w:t>
      </w:r>
      <w:r>
        <w:rPr>
          <w:rFonts w:ascii="Calibri" w:hAnsi="Calibri" w:eastAsia="PingFang SC"/>
        </w:rPr>
        <w:t xml:space="preserve"> 描述平均 personalized value added，</w:t>
      </w:r>
      <w:r>
        <w:rPr>
          <w:rFonts w:ascii="Courier New" w:hAnsi="Courier New" w:eastAsia="PingFang SC"/>
          <w:color w:val="6A3E00"/>
          <w:sz w:val="20"/>
        </w:rPr>
        <w:t>Gain_min = min(G_a,G_b)</w:t>
      </w:r>
      <w:r>
        <w:rPr>
          <w:rFonts w:ascii="Calibri" w:hAnsi="Calibri" w:eastAsia="PingFang SC"/>
        </w:rPr>
        <w:t xml:space="preserve"> 防止平均增益掩盖一位用户没有受益。最终把 personalization 画成二维 profile：横轴为跨用户 specificity（CFA），纵轴为相对 task-only benefit（Gain），而不是再压成一个总分。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 &gt; 0</w:t>
      </w:r>
      <w:r>
        <w:rPr>
          <w:rFonts w:ascii="Calibri" w:hAnsi="Calibri" w:eastAsia="PingFang SC"/>
        </w:rPr>
        <w:t xml:space="preserve"> 且 </w:t>
      </w:r>
      <w:r>
        <w:rPr>
          <w:rFonts w:ascii="Courier New" w:hAnsi="Courier New" w:eastAsia="PingFang SC"/>
          <w:color w:val="6A3E00"/>
          <w:sz w:val="20"/>
        </w:rPr>
        <w:t>Δ_b &gt; 0</w:t>
      </w:r>
      <w:r>
        <w:rPr>
          <w:rFonts w:ascii="Calibri" w:hAnsi="Calibri" w:eastAsia="PingFang SC"/>
        </w:rPr>
        <w:t>，目标用户与交付物的匹配在两个方向都成立；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G_a ≥ 0</w:t>
      </w:r>
      <w:r>
        <w:rPr>
          <w:rFonts w:ascii="Calibri" w:hAnsi="Calibri" w:eastAsia="PingFang SC"/>
        </w:rPr>
        <w:t xml:space="preserve"> 且 </w:t>
      </w:r>
      <w:r>
        <w:rPr>
          <w:rFonts w:ascii="Courier New" w:hAnsi="Courier New" w:eastAsia="PingFang SC"/>
          <w:color w:val="6A3E00"/>
          <w:sz w:val="20"/>
        </w:rPr>
        <w:t>G_b ≥ 0</w:t>
      </w:r>
      <w:r>
        <w:rPr>
          <w:rFonts w:ascii="Calibri" w:hAnsi="Calibri" w:eastAsia="PingFang SC"/>
        </w:rPr>
        <w:t>，至少没有一位用户比 task-only baseline 更差；</w:t>
      </w:r>
    </w:p>
    <w:p>
      <w:pPr>
        <w:numPr>
          <w:ilvl w:val="0"/>
          <w:numId w:val="24"/>
        </w:numPr>
        <w:spacing w:after="80" w:line="290" w:lineRule="auto"/>
        <w:ind w:left="540" w:hanging="279"/>
      </w:pPr>
      <w:r>
        <w:rPr>
          <w:rFonts w:ascii="Calibri" w:hAnsi="Calibri" w:eastAsia="PingFang SC"/>
        </w:rPr>
        <w:t>matched outputs 均通过 TQ、FR、must-hold 与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 xml:space="preserve">确认性分析以 family 为随机化/聚类单位。先对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w:t>
      </w:r>
      <w:r>
        <w:rPr>
          <w:rFonts w:ascii="Courier New" w:hAnsi="Courier New" w:eastAsia="PingFang SC"/>
          <w:color w:val="6A3E00"/>
          <w:sz w:val="20"/>
        </w:rPr>
        <w:t>G_a</w:t>
      </w:r>
      <w:r>
        <w:rPr>
          <w:rFonts w:ascii="Calibri" w:hAnsi="Calibri" w:eastAsia="PingFang SC"/>
        </w:rPr>
        <w:t xml:space="preserve"> 和 </w:t>
      </w:r>
      <w:r>
        <w:rPr>
          <w:rFonts w:ascii="Courier New" w:hAnsi="Courier New" w:eastAsia="PingFang SC"/>
          <w:color w:val="6A3E00"/>
          <w:sz w:val="20"/>
        </w:rPr>
        <w:t>G_b</w:t>
      </w:r>
      <w:r>
        <w:rPr>
          <w:rFonts w:ascii="Calibri" w:hAnsi="Calibri" w:eastAsia="PingFang SC"/>
        </w:rPr>
        <w:t xml:space="preserve"> 做 family-blocked permutation test 与 cluster bootstrap 95% 置信区间；不得把同一 family 内的四个评分单元当成独立样本。目标用户的盲评使用 matched/swapped/task-only 三者的 pairwise preference，主报告 match win probability（tie 计 0.5）及 family-blocked 区间；带 family、用户和 rater 随机效应的 Bradley–Terry / ordinal mixed model只作为稀疏数据可支持时的敏感性分析，不以复杂模型替代设计层配对。Agent、渠道和压力比较再使用预注册的分层模型或配对检验，多重比较采用 Holm 校正。除平均数外，还报告中位数、最差 10% CVaR、任务族/用户群/语言切片和 seed 方差，不发布小于人评与 judge 不确定性的伪精确排名。</w:t>
      </w:r>
    </w:p>
    <w:p>
      <w:pPr>
        <w:pStyle w:val="Heading1"/>
      </w:pPr>
      <w:r>
        <w:t>8. Judge 体系与独立 JudgeBench</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6"/>
        </w:numPr>
        <w:spacing w:after="80" w:line="290" w:lineRule="auto"/>
        <w:ind w:left="540" w:hanging="279"/>
      </w:pPr>
      <w:r>
        <w:rPr>
          <w:rFonts w:ascii="Calibri" w:hAnsi="Calibri" w:eastAsia="PingFang SC"/>
        </w:rPr>
        <w:t>Task only；</w:t>
      </w:r>
    </w:p>
    <w:p>
      <w:pPr>
        <w:numPr>
          <w:ilvl w:val="0"/>
          <w:numId w:val="26"/>
        </w:numPr>
        <w:spacing w:after="80" w:line="290" w:lineRule="auto"/>
        <w:ind w:left="540" w:hanging="279"/>
      </w:pPr>
      <w:r>
        <w:rPr>
          <w:rFonts w:ascii="Calibri" w:hAnsi="Calibri" w:eastAsia="PingFang SC"/>
        </w:rPr>
        <w:t>Oracle structured persona；</w:t>
      </w:r>
    </w:p>
    <w:p>
      <w:pPr>
        <w:numPr>
          <w:ilvl w:val="0"/>
          <w:numId w:val="26"/>
        </w:numPr>
        <w:spacing w:after="80" w:line="290" w:lineRule="auto"/>
        <w:ind w:left="540" w:hanging="279"/>
      </w:pPr>
      <w:r>
        <w:rPr>
          <w:rFonts w:ascii="Calibri" w:hAnsi="Calibri" w:eastAsia="PingFang SC"/>
        </w:rPr>
        <w:t>语义等价的自然对话历史；</w:t>
      </w:r>
    </w:p>
    <w:p>
      <w:pPr>
        <w:numPr>
          <w:ilvl w:val="0"/>
          <w:numId w:val="26"/>
        </w:numPr>
        <w:spacing w:after="80" w:line="290" w:lineRule="auto"/>
        <w:ind w:left="540" w:hanging="279"/>
      </w:pPr>
      <w:r>
        <w:rPr>
          <w:rFonts w:ascii="Calibri" w:hAnsi="Calibri" w:eastAsia="PingFang SC"/>
        </w:rPr>
        <w:t>历史 + 检索式 memory；</w:t>
      </w:r>
    </w:p>
    <w:p>
      <w:pPr>
        <w:numPr>
          <w:ilvl w:val="0"/>
          <w:numId w:val="26"/>
        </w:numPr>
        <w:spacing w:after="80" w:line="290" w:lineRule="auto"/>
        <w:ind w:left="540" w:hanging="279"/>
      </w:pPr>
      <w:r>
        <w:rPr>
          <w:rFonts w:ascii="Calibri" w:hAnsi="Calibri" w:eastAsia="PingFang SC"/>
        </w:rPr>
        <w:t>主动澄清；</w:t>
      </w:r>
    </w:p>
    <w:p>
      <w:pPr>
        <w:numPr>
          <w:ilvl w:val="0"/>
          <w:numId w:val="26"/>
        </w:numPr>
        <w:spacing w:after="80" w:line="290" w:lineRule="auto"/>
        <w:ind w:left="540" w:hanging="279"/>
      </w:pPr>
      <w:r>
        <w:rPr>
          <w:rFonts w:ascii="Calibri" w:hAnsi="Calibri" w:eastAsia="PingFang SC"/>
        </w:rPr>
        <w:t>Persona shuffled（目标用户不变、只交换可见 signal bundle 的负对照）；</w:t>
      </w:r>
    </w:p>
    <w:p>
      <w:pPr>
        <w:numPr>
          <w:ilvl w:val="0"/>
          <w:numId w:val="26"/>
        </w:numPr>
        <w:spacing w:after="80" w:line="290" w:lineRule="auto"/>
        <w:ind w:left="540" w:hanging="279"/>
      </w:pPr>
      <w:r>
        <w:rPr>
          <w:rFonts w:ascii="Calibri" w:hAnsi="Calibri" w:eastAsia="PingFang SC"/>
        </w:rPr>
        <w:t>Irrelevant persona（无关属性，过度个性化探针）；</w:t>
      </w:r>
    </w:p>
    <w:p>
      <w:pPr>
        <w:numPr>
          <w:ilvl w:val="0"/>
          <w:numId w:val="26"/>
        </w:numPr>
        <w:spacing w:after="80" w:line="290" w:lineRule="auto"/>
        <w:ind w:left="540" w:hanging="279"/>
      </w:pPr>
      <w:r>
        <w:rPr>
          <w:rFonts w:ascii="Calibri" w:hAnsi="Calibri" w:eastAsia="PingFang SC"/>
        </w:rPr>
        <w:t>Contradictory/dated history（冲突与时效）；</w:t>
      </w:r>
    </w:p>
    <w:p>
      <w:pPr>
        <w:numPr>
          <w:ilvl w:val="0"/>
          <w:numId w:val="26"/>
        </w:numPr>
        <w:spacing w:after="80" w:line="290" w:lineRule="auto"/>
        <w:ind w:left="540" w:hanging="279"/>
      </w:pPr>
      <w:r>
        <w:rPr>
          <w:rFonts w:ascii="Calibri" w:hAnsi="Calibri" w:eastAsia="PingFang SC"/>
        </w:rPr>
        <w:t>Context dilution（不同长度和位置）；</w:t>
      </w:r>
    </w:p>
    <w:p>
      <w:pPr>
        <w:numPr>
          <w:ilvl w:val="0"/>
          <w:numId w:val="26"/>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7"/>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7"/>
        </w:numPr>
        <w:spacing w:after="80" w:line="290" w:lineRule="auto"/>
        <w:ind w:left="540" w:hanging="279"/>
      </w:pPr>
      <w:r>
        <w:rPr>
          <w:rFonts w:ascii="Calibri" w:hAnsi="Calibri" w:eastAsia="PingFang SC"/>
          <w:b/>
        </w:rPr>
        <w:t>Signal acquisition board</w:t>
      </w:r>
      <w:r>
        <w:rPr>
          <w:rFonts w:ascii="Calibri" w:hAnsi="Calibri" w:eastAsia="PingFang SC"/>
        </w:rPr>
        <w:t>：分别报告 structured persona、natural history、clarification 和 workspace/history 的 CFA；Worst-view CFA 与 Cue Gap 只在 equivalence-audited provided views 上计算，并另报 Clarification Value。</w:t>
      </w:r>
    </w:p>
    <w:p>
      <w:pPr>
        <w:numPr>
          <w:ilvl w:val="0"/>
          <w:numId w:val="27"/>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7"/>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8"/>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8"/>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8"/>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8"/>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8"/>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8"/>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人类参考交付物在两个用户方向均优于 swapped，</w:t>
      </w:r>
      <w:r>
        <w:rPr>
          <w:rFonts w:ascii="Courier New" w:hAnsi="Courier New" w:eastAsia="PingFang SC"/>
          <w:color w:val="6A3E00"/>
          <w:sz w:val="20"/>
        </w:rPr>
        <w:t>CFA_min &gt; 0</w:t>
      </w:r>
      <w:r>
        <w:rPr>
          <w:rFonts w:ascii="Calibri" w:hAnsi="Calibri" w:eastAsia="PingFang SC"/>
        </w:rPr>
        <w:t xml:space="preserve">；相对 task-only 的 </w:t>
      </w:r>
      <w:r>
        <w:rPr>
          <w:rFonts w:ascii="Courier New" w:hAnsi="Courier New" w:eastAsia="PingFang SC"/>
          <w:color w:val="6A3E00"/>
          <w:sz w:val="20"/>
        </w:rPr>
        <w:t>Gain_min</w:t>
      </w:r>
      <w:r>
        <w:rPr>
          <w:rFonts w:ascii="Calibri" w:hAnsi="Calibri" w:eastAsia="PingFang SC"/>
        </w:rPr>
        <w:t xml:space="preserve"> 不为负，且效应不能由长度、格式或共同质量解释；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9"/>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9"/>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9"/>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9"/>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9"/>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9"/>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9"/>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9"/>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9"/>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 xml:space="preserve">：metadata-driven rubric compiler 组合 core、personalization、intent、deliverable、operator 和 risk 模块；每个 case 冻结 must-change、must-hold、must-not、clarify-if-unknown。主指标为 TQ/FR 门槛、PF/MP、双向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、task-only uplift 和目标用户 pairwise match effect；failure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一页主张图：什么算有效 personalization。</w:t>
      </w:r>
      <w:r>
        <w:rPr>
          <w:rFonts w:ascii="Calibri" w:hAnsi="Calibri" w:eastAsia="PingFang SC"/>
        </w:rPr>
        <w:t xml:space="preserve"> 汇报版不再复刻完整工程流水线，而用三段讲清论文：左侧说明 absolute fit 的剩余识别问题；中间展示固定 task/evidence/budget 后的 Ua/Ub crossover、2×2 PF 矩阵和 must-change/hold/not；右侧展示四重成立门——双向 specificity、相对 task-only benefit、共同质量 no-harm、边界 no-violation。底部只保留 24 family / 48 user-task / 4 signal conditions、8 anchor、240-unit JudgeBench 和“结果层特异性 ≠ 内部理解”的主张边界。这张图服务口头汇报；完整 benchmark 流程移入 Figure 2 或附录。</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plot、描述性的完整 </w:t>
      </w:r>
      <w:r>
        <w:rPr>
          <w:rFonts w:ascii="Courier New" w:hAnsi="Courier New" w:eastAsia="PingFang SC"/>
          <w:color w:val="6A3E00"/>
          <w:sz w:val="20"/>
        </w:rPr>
        <w:t>3 strata × 6 intents</w:t>
      </w:r>
      <w:r>
        <w:rPr>
          <w:rFonts w:ascii="Calibri" w:hAnsi="Calibri" w:eastAsia="PingFang SC"/>
        </w:rPr>
        <w:t xml:space="preserve"> 交叉格、deliverable coverage heatmap、八个 anchor 的独立 S0–S3 曲线、clarification value/turn、retention/update 曲线、多标签 failure co-occurrence UpSet plot、各语言/用户群切片，以及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v0.31 开工方案：先验证一条完整因果链</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60–80 个真实用户、专业工作流、公开任务或访谈 seed，去重后筛成约 30 个候选；先做 3 个完整 family 的 vertical slice，再根据 family-level 方差和 power simulation 冻结约 24 个。所有核心主观字段由两名训练过的标注者独立编码、第三人仲裁；硬字段报告 exact agreement，名义或多标签字段按预注册报告 Krippendorff's α 或 Gwet's AC1。统计单位是 task family，因此同一 family 的两位用户、四格 PF 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25">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70">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51">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71">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72">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73">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74">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75">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76">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77">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 24 个 family、真实用户验证、可复现 E1、judge 校准和公开 artifact，但效应中等时约 </w:t>
      </w:r>
      <w:r>
        <w:rPr>
          <w:rFonts w:ascii="Calibri" w:hAnsi="Calibri" w:eastAsia="PingFang SC"/>
          <w:b/>
        </w:rPr>
        <w:t>20%–35%</w:t>
      </w:r>
      <w:r>
        <w:rPr>
          <w:rFonts w:ascii="Calibri" w:hAnsi="Calibri" w:eastAsia="PingFang SC"/>
        </w:rPr>
        <w:t xml:space="preserve">；若双向 specificity 与相对 task-only benefit 在多个 strata 上都稳定，通过共同质量/隐私门、强 baseline 与目标用户盲评，并公开完整构造和复现资产，约 </w:t>
      </w:r>
      <w:r>
        <w:rPr>
          <w:rFonts w:ascii="Calibri" w:hAnsi="Calibri" w:eastAsia="PingFang SC"/>
          <w:b/>
        </w:rPr>
        <w:t>35%–50%</w:t>
      </w:r>
      <w:r>
        <w:rPr>
          <w:rFonts w:ascii="Calibri" w:hAnsi="Calibri" w:eastAsia="PingFang SC"/>
        </w:rPr>
        <w:t xml:space="preserve">。反之，若 persona 主要合成、rubric 由 LLM 看输出后生成、仅用 LLM judge、没有 task-only 或 E1 不可复现，应低于 </w:t>
      </w:r>
      <w:r>
        <w:rPr>
          <w:rFonts w:ascii="Calibri" w:hAnsi="Calibri" w:eastAsia="PingFang SC"/>
          <w:b/>
        </w:rPr>
        <w:t>10%–15%</w:t>
      </w:r>
      <w:r>
        <w:rPr>
          <w:rFonts w:ascii="Calibri" w:hAnsi="Calibri" w:eastAsia="PingFang SC"/>
        </w:rPr>
        <w:t>。这些区间是基于邻近工作与审稿风险的判断，不是校准概率。</w:t>
      </w:r>
    </w:p>
    <w:p>
      <w:r>
        <w:rPr>
          <w:rFonts w:ascii="Calibri" w:hAnsi="Calibri" w:eastAsia="PingFang SC"/>
        </w:rPr>
        <w:t>当前最现实的中心判断是：</w:t>
      </w:r>
      <w:r>
        <w:rPr>
          <w:rFonts w:ascii="Calibri" w:hAnsi="Calibri" w:eastAsia="PingFang SC"/>
          <w:b/>
        </w:rPr>
        <w:t>按 v0.31 严格执行，约三成上下；真正的加分项是识别证据，不是继续扩 module 或环境。</w:t>
      </w:r>
      <w:r>
        <w:rPr>
          <w:rFonts w:ascii="Calibri" w:hAnsi="Calibri" w:eastAsia="PingFang SC"/>
        </w:rPr>
        <w:t xml:space="preserve"> PDR-Bench 已在 ICLR 2026 录用，意味着“个性化 Deep Research benchmark”本身不再新；DeepAlign 必须把 counterfactual estimand、真人 task-persona truth、bilateral specificity × benefit 和 judge validity 做成实证结果。24 个 family 是否够，需在 3-family pilot 后按 family-level 方差做最小可检测效应模拟；若功效不足，优先增加 family 或减少被测系统，而不是继续给同一 family 加 leaf 或 agent 重复。</w:t>
      </w:r>
    </w:p>
    <w:p>
      <w:pPr>
        <w:pStyle w:val="Heading2"/>
      </w:pPr>
      <w:r>
        <w:t>17.6 两周开工清单</w:t>
      </w:r>
    </w:p>
    <w:p>
      <w:pPr>
        <w:numPr>
          <w:ilvl w:val="0"/>
          <w:numId w:val="30"/>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0"/>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0"/>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0"/>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0"/>
        </w:numPr>
        <w:spacing w:after="80" w:line="290" w:lineRule="auto"/>
        <w:ind w:left="540" w:hanging="279"/>
      </w:pPr>
      <w:r>
        <w:rPr>
          <w:rFonts w:ascii="Calibri" w:hAnsi="Calibri" w:eastAsia="PingFang SC"/>
        </w:rPr>
        <w:t>第 12–14 天：E1 上用 2 agent 跑通 task-only + 2×2 matched/swapped；计算 family-level CFA/Gain，审查 cue invariance、judge disagreement 和 residual errors。</w:t>
      </w:r>
    </w:p>
    <w:p>
      <w:pPr>
        <w:numPr>
          <w:ilvl w:val="0"/>
          <w:numId w:val="30"/>
        </w:numPr>
        <w:spacing w:after="80" w:line="290" w:lineRule="auto"/>
        <w:ind w:left="540" w:hanging="279"/>
      </w:pPr>
      <w:r>
        <w:rPr>
          <w:rFonts w:ascii="Calibri" w:hAnsi="Calibri" w:eastAsia="PingFang SC"/>
        </w:rPr>
        <w:t>只有 3 个 family 中至少 2 个通过双向区分、真实收益、共同质量和边界四重门，才扩到 24；否则优先修改 construct、招募或 node，不扩任务数量。</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3">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4">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5">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25">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8">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9">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40">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41">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2">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3">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4">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5">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6">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7">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8">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9">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50">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51">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2">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3">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4">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67">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66">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68">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69">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5">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6">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7">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58">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9">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60">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61">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11">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13">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12">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19">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14">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15">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3">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26">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7">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20">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21">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22">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23">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17">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16">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18">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2">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6">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7">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78">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70">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71">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72">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73">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74">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75">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76">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77">
        <w:r>
          <w:rPr>
            <w:rFonts w:ascii="Calibri" w:hAnsi="Calibri" w:eastAsia="PingFang SC"/>
            <w:color w:val="2E74B5"/>
            <w:u w:val="single"/>
            <w:sz w:val="16"/>
            <w:szCs w:val="16"/>
          </w:rPr>
          <w:t>https://arxiv.org/abs/2510.18560</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 Id="rId70" Type="http://schemas.openxmlformats.org/officeDocument/2006/relationships/hyperlink" Target="https://arxiv.org/abs/2507.21071" TargetMode="External"/><Relationship Id="rId71" Type="http://schemas.openxmlformats.org/officeDocument/2006/relationships/hyperlink" Target="https://openreview.net/pdf/c2a76eb44300a738cbd7cb95f5bc04df621f4d25.pdf" TargetMode="External"/><Relationship Id="rId72" Type="http://schemas.openxmlformats.org/officeDocument/2006/relationships/hyperlink" Target="https://openreview.net/pdf?id=oKn9c6ytLx" TargetMode="External"/><Relationship Id="rId73" Type="http://schemas.openxmlformats.org/officeDocument/2006/relationships/hyperlink" Target="https://arxiv.org/abs/2510.21652" TargetMode="External"/><Relationship Id="rId74" Type="http://schemas.openxmlformats.org/officeDocument/2006/relationships/hyperlink" Target="https://arxiv.org/abs/2505.21936" TargetMode="External"/><Relationship Id="rId75" Type="http://schemas.openxmlformats.org/officeDocument/2006/relationships/hyperlink" Target="https://media.iclr.cc/Conferences/ICLR2024/ICLR2024-Fact_Sheet.pdf" TargetMode="External"/><Relationship Id="rId76" Type="http://schemas.openxmlformats.org/officeDocument/2006/relationships/hyperlink" Target="https://media.iclr.cc/Conferences/ICLR2026/ICLR2026_Fact_Sheet.pdf" TargetMode="External"/><Relationship Id="rId77" Type="http://schemas.openxmlformats.org/officeDocument/2006/relationships/hyperlink" Target="https://arxiv.org/abs/2510.18560" TargetMode="External"/><Relationship Id="rId78" Type="http://schemas.openxmlformats.org/officeDocument/2006/relationships/hyperlink" Target="https://openreview.net/pdf?id=zAdUB0aC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