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v0.27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4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固定任务与证据，只改变目标用户；用 matched/swapped 与三类契约判断输出是否按正确方向变化，再比较不同 agent 在 S0–S3 压力下的表现。</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。每个 failure mode 至少在两个不同任务或交付物的 anchor 上测试；每个 anchor 只承担 3–4 个最自然的 mode；每个强扰动都有同 anchor、同前缀、同预算的 clean 或 light control。Anchor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任务”不表示所有任务共用同一张评分表。统一的是叶节点格式和校准方法；具体评价项由 Atlas 元数据选择。对 case (c)，冻结后的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规定缺少关键信息时何时应提问或给条件分支。它们把用户事实、反事实输出和 judge 的具体判定直接连起来，比一个笼统的“个性化总分”更容易审计。</w:t>
      </w:r>
    </w:p>
    <w:p>
      <w:r>
        <w:rPr>
          <w:rFonts w:ascii="Calibri" w:hAnsi="Calibri" w:eastAsia="PingFang SC"/>
        </w:rPr>
        <w:t>Rubric compiler 必须接受四项覆盖校验：</w:t>
      </w:r>
    </w:p>
    <w:p>
      <w:pPr>
        <w:numPr>
          <w:ilvl w:val="0"/>
          <w:numId w:val="22"/>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2"/>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2"/>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2"/>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如果一个模块在人类之间无法稳定判断，或不能区分 matched 和 swapped 输出，就删除、合并或降为探索性分析，不能靠调整权重把它保留在主分中。Rubric 的通用性来自统一接口、明确的适用条件和跨类型校准，而不是让所有任务强行使用同一张表。</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 xml:space="preserve">每个叶节点都记录 ID、所属模块、类型、适用条件、可观察要求、证据来源、预期方向、权重、评分锚点、允许替代、适用用户、置信度、硬门槛、反事实对照和首选 verifier。机器可读字段包括 </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w:t>
      </w:r>
      <w:r>
        <w:rPr>
          <w:rFonts w:ascii="Courier New" w:hAnsi="Courier New" w:eastAsia="PingFang SC"/>
          <w:color w:val="6A3E00"/>
          <w:sz w:val="20"/>
        </w:rPr>
        <w:t>applicability_predicate</w:t>
      </w:r>
      <w:r>
        <w:rPr>
          <w:rFonts w:ascii="Calibri" w:hAnsi="Calibri" w:eastAsia="PingFang SC"/>
        </w:rPr>
        <w:t xml:space="preserve"> 等。正向项采用带文字锚点的 0/0.5/1 或 0/1/2；可以客观判断的项目尽量二元；违规项单独扣分，不使用含糊的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0，表示两个用户分别更适合自己的交付物版本。但它不能解释模型为什么做到，也不能自动排除长度等干扰，因此还要报告：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主结果使用按基础任务聚类的 bootstrap 95% 置信区间。模型比较使用交叉分类混合效应模型，至少包含 agent、用户信息渠道、压力强度及其交互，并为基础任务和用户设置随机截距。多重比较使用 Holm 校正。除平均数外，还报告中位数、最差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3"/>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3"/>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3"/>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3"/>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3"/>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4"/>
        </w:numPr>
        <w:spacing w:after="80" w:line="290" w:lineRule="auto"/>
        <w:ind w:left="540" w:hanging="279"/>
      </w:pPr>
      <w:r>
        <w:rPr>
          <w:rFonts w:ascii="Calibri" w:hAnsi="Calibri" w:eastAsia="PingFang SC"/>
        </w:rPr>
        <w:t>Task only；</w:t>
      </w:r>
    </w:p>
    <w:p>
      <w:pPr>
        <w:numPr>
          <w:ilvl w:val="0"/>
          <w:numId w:val="24"/>
        </w:numPr>
        <w:spacing w:after="80" w:line="290" w:lineRule="auto"/>
        <w:ind w:left="540" w:hanging="279"/>
      </w:pPr>
      <w:r>
        <w:rPr>
          <w:rFonts w:ascii="Calibri" w:hAnsi="Calibri" w:eastAsia="PingFang SC"/>
        </w:rPr>
        <w:t>Oracle structured persona；</w:t>
      </w:r>
    </w:p>
    <w:p>
      <w:pPr>
        <w:numPr>
          <w:ilvl w:val="0"/>
          <w:numId w:val="24"/>
        </w:numPr>
        <w:spacing w:after="80" w:line="290" w:lineRule="auto"/>
        <w:ind w:left="540" w:hanging="279"/>
      </w:pPr>
      <w:r>
        <w:rPr>
          <w:rFonts w:ascii="Calibri" w:hAnsi="Calibri" w:eastAsia="PingFang SC"/>
        </w:rPr>
        <w:t>语义等价的自然对话历史；</w:t>
      </w:r>
    </w:p>
    <w:p>
      <w:pPr>
        <w:numPr>
          <w:ilvl w:val="0"/>
          <w:numId w:val="24"/>
        </w:numPr>
        <w:spacing w:after="80" w:line="290" w:lineRule="auto"/>
        <w:ind w:left="540" w:hanging="279"/>
      </w:pPr>
      <w:r>
        <w:rPr>
          <w:rFonts w:ascii="Calibri" w:hAnsi="Calibri" w:eastAsia="PingFang SC"/>
        </w:rPr>
        <w:t>历史 + 检索式 memory；</w:t>
      </w:r>
    </w:p>
    <w:p>
      <w:pPr>
        <w:numPr>
          <w:ilvl w:val="0"/>
          <w:numId w:val="24"/>
        </w:numPr>
        <w:spacing w:after="80" w:line="290" w:lineRule="auto"/>
        <w:ind w:left="540" w:hanging="279"/>
      </w:pPr>
      <w:r>
        <w:rPr>
          <w:rFonts w:ascii="Calibri" w:hAnsi="Calibri" w:eastAsia="PingFang SC"/>
        </w:rPr>
        <w:t>主动澄清；</w:t>
      </w:r>
    </w:p>
    <w:p>
      <w:pPr>
        <w:numPr>
          <w:ilvl w:val="0"/>
          <w:numId w:val="24"/>
        </w:numPr>
        <w:spacing w:after="80" w:line="290" w:lineRule="auto"/>
        <w:ind w:left="540" w:hanging="279"/>
      </w:pPr>
      <w:r>
        <w:rPr>
          <w:rFonts w:ascii="Calibri" w:hAnsi="Calibri" w:eastAsia="PingFang SC"/>
        </w:rPr>
        <w:t>Persona shuffled（目标用户不变、只交换可见 signal bundle 的负对照）；</w:t>
      </w:r>
    </w:p>
    <w:p>
      <w:pPr>
        <w:numPr>
          <w:ilvl w:val="0"/>
          <w:numId w:val="24"/>
        </w:numPr>
        <w:spacing w:after="80" w:line="290" w:lineRule="auto"/>
        <w:ind w:left="540" w:hanging="279"/>
      </w:pPr>
      <w:r>
        <w:rPr>
          <w:rFonts w:ascii="Calibri" w:hAnsi="Calibri" w:eastAsia="PingFang SC"/>
        </w:rPr>
        <w:t>Irrelevant persona（无关属性，过度个性化探针）；</w:t>
      </w:r>
    </w:p>
    <w:p>
      <w:pPr>
        <w:numPr>
          <w:ilvl w:val="0"/>
          <w:numId w:val="24"/>
        </w:numPr>
        <w:spacing w:after="80" w:line="290" w:lineRule="auto"/>
        <w:ind w:left="540" w:hanging="279"/>
      </w:pPr>
      <w:r>
        <w:rPr>
          <w:rFonts w:ascii="Calibri" w:hAnsi="Calibri" w:eastAsia="PingFang SC"/>
        </w:rPr>
        <w:t>Contradictory/dated history（冲突与时效）；</w:t>
      </w:r>
    </w:p>
    <w:p>
      <w:pPr>
        <w:numPr>
          <w:ilvl w:val="0"/>
          <w:numId w:val="24"/>
        </w:numPr>
        <w:spacing w:after="80" w:line="290" w:lineRule="auto"/>
        <w:ind w:left="540" w:hanging="279"/>
      </w:pPr>
      <w:r>
        <w:rPr>
          <w:rFonts w:ascii="Calibri" w:hAnsi="Calibri" w:eastAsia="PingFang SC"/>
        </w:rPr>
        <w:t>Context dilution（不同长度和位置）；</w:t>
      </w:r>
    </w:p>
    <w:p>
      <w:pPr>
        <w:numPr>
          <w:ilvl w:val="0"/>
          <w:numId w:val="24"/>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5"/>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5"/>
        </w:numPr>
        <w:spacing w:after="80" w:line="290" w:lineRule="auto"/>
        <w:ind w:left="540" w:hanging="279"/>
      </w:pPr>
      <w:r>
        <w:rPr>
          <w:rFonts w:ascii="Calibri" w:hAnsi="Calibri" w:eastAsia="PingFang SC"/>
          <w:b/>
        </w:rPr>
        <w:t>Signal acquisition board</w:t>
      </w:r>
      <w:r>
        <w:rPr>
          <w:rFonts w:ascii="Calibri" w:hAnsi="Calibri" w:eastAsia="PingFang SC"/>
        </w:rPr>
        <w:t>：分别报告 structured persona、natural history、clarification 和 workspace/history 的 CFA；Worst-view CFA 与 Cue Gap 只在 equivalence-audited provided views 上计算，并另报 Clarification Value。</w:t>
      </w:r>
    </w:p>
    <w:p>
      <w:pPr>
        <w:numPr>
          <w:ilvl w:val="0"/>
          <w:numId w:val="25"/>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5"/>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1"/>
      </w:pPr>
      <w:r>
        <w:t>12. 预期贡献、成功标准与发表边界</w:t>
      </w:r>
    </w:p>
    <w:p>
      <w:pPr>
        <w:pStyle w:val="Heading2"/>
      </w:pPr>
      <w:r>
        <w:t>12.1 预期贡献</w:t>
      </w:r>
    </w:p>
    <w:p>
      <w:pPr>
        <w:numPr>
          <w:ilvl w:val="0"/>
          <w:numId w:val="26"/>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6"/>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6"/>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6"/>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6"/>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6"/>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7"/>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7"/>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7"/>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7"/>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7"/>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7"/>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7"/>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7"/>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7"/>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总览：从用户信号到可审计的个性化效应。</w:t>
      </w:r>
      <w:r>
        <w:rPr>
          <w:rFonts w:ascii="Calibri" w:hAnsi="Calibri" w:eastAsia="PingFang SC"/>
        </w:rPr>
        <w:t xml:space="preserve"> 使用从左到右的五段流程：</w:t>
      </w:r>
      <w:r>
        <w:rPr>
          <w:rFonts w:ascii="Courier New" w:hAnsi="Courier New" w:eastAsia="PingFang SC"/>
          <w:color w:val="6A3E00"/>
          <w:sz w:val="20"/>
        </w:rPr>
        <w:t>Task/Evidence + paired user state</w:t>
      </w:r>
      <w:r>
        <w:rPr>
          <w:rFonts w:ascii="Calibri" w:hAnsi="Calibri" w:eastAsia="PingFang SC"/>
        </w:rPr>
        <w:t xml:space="preserve"> → </w:t>
      </w:r>
      <w:r>
        <w:rPr>
          <w:rFonts w:ascii="Courier New" w:hAnsi="Courier New" w:eastAsia="PingFang SC"/>
          <w:color w:val="6A3E00"/>
          <w:sz w:val="20"/>
        </w:rPr>
        <w:t>signal view + execution environment</w:t>
      </w:r>
      <w:r>
        <w:rPr>
          <w:rFonts w:ascii="Calibri" w:hAnsi="Calibri" w:eastAsia="PingFang SC"/>
        </w:rPr>
        <w:t xml:space="preserve"> → </w:t>
      </w:r>
      <w:r>
        <w:rPr>
          <w:rFonts w:ascii="Courier New" w:hAnsi="Courier New" w:eastAsia="PingFang SC"/>
          <w:color w:val="6A3E00"/>
          <w:sz w:val="20"/>
        </w:rPr>
        <w:t>agent system</w:t>
      </w:r>
      <w:r>
        <w:rPr>
          <w:rFonts w:ascii="Calibri" w:hAnsi="Calibri" w:eastAsia="PingFang SC"/>
        </w:rPr>
        <w:t xml:space="preserve"> → </w:t>
      </w:r>
      <w:r>
        <w:rPr>
          <w:rFonts w:ascii="Courier New" w:hAnsi="Courier New" w:eastAsia="PingFang SC"/>
          <w:color w:val="6A3E00"/>
          <w:sz w:val="20"/>
        </w:rPr>
        <w:t>matched/swapped artifacts</w:t>
      </w:r>
      <w:r>
        <w:rPr>
          <w:rFonts w:ascii="Calibri" w:hAnsi="Calibri" w:eastAsia="PingFang SC"/>
        </w:rPr>
        <w:t xml:space="preserve"> → </w:t>
      </w:r>
      <w:r>
        <w:rPr>
          <w:rFonts w:ascii="Courier New" w:hAnsi="Courier New" w:eastAsia="PingFang SC"/>
          <w:color w:val="6A3E00"/>
          <w:sz w:val="20"/>
        </w:rPr>
        <w:t>TQ/FR gate + CFA/contracts + four leaderboard profiles</w:t>
      </w:r>
      <w:r>
        <w:rPr>
          <w:rFonts w:ascii="Calibri" w:hAnsi="Calibri" w:eastAsia="PingFang SC"/>
        </w:rPr>
        <w:t>。Atlas 五个平面放在顶部作为 case 条件带，S0–S3 anchor stress 与 JudgeBench 放在底部作为两条验证支线。这张图回答“benchmark 整体如何运行”，不塞入所有 taxonomy 叶节点。</w:t>
      </w:r>
    </w:p>
    <w:p>
      <w:r>
        <w:rPr>
          <w:rFonts w:ascii="Calibri" w:hAnsi="Calibri" w:eastAsia="PingFang SC"/>
          <w:b/>
        </w:rPr>
        <w:t>Figure 2 · 一个 counterfactual family 如何构造和评分。</w:t>
      </w:r>
      <w:r>
        <w:rPr>
          <w:rFonts w:ascii="Calibri" w:hAnsi="Calibri" w:eastAsia="PingFang SC"/>
        </w:rPr>
        <w:t xml:space="preserve"> 四个 panel：A 展示 Ua/Ub 的 invariant core 与 2–3 个 minimal user edits；B 展示同一 ledger 的 structured persona、natural history 和 clarification 三个语义等价 signal views；C 展示 </w:t>
      </w:r>
      <w:r>
        <w:rPr>
          <w:rFonts w:ascii="Courier New" w:hAnsi="Courier New" w:eastAsia="PingFang SC"/>
          <w:color w:val="6A3E00"/>
          <w:sz w:val="20"/>
        </w:rPr>
        <w:t>M[i,j] = PF_i(Y_j)</w:t>
      </w:r>
      <w:r>
        <w:rPr>
          <w:rFonts w:ascii="Calibri" w:hAnsi="Calibri" w:eastAsia="PingFang SC"/>
        </w:rPr>
        <w:t xml:space="preserve"> 的 2×2 交叉评分矩阵与 CFA；D 用一个具体 case 列出 must-change、must-hold、must-not 和 clarify-if-unknown。它把 persona 真值、输出变化和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PF_swapped</w:t>
      </w:r>
      <w:r>
        <w:rPr>
          <w:rFonts w:ascii="Calibri" w:hAnsi="Calibri" w:eastAsia="PingFang SC"/>
        </w:rPr>
        <w:t xml:space="preserve">、纵轴为 </w:t>
      </w:r>
      <w:r>
        <w:rPr>
          <w:rFonts w:ascii="Courier New" w:hAnsi="Courier New" w:eastAsia="PingFang SC"/>
          <w:color w:val="6A3E00"/>
          <w:sz w:val="20"/>
        </w:rPr>
        <w:t>PF_matched</w:t>
      </w:r>
      <w:r>
        <w:rPr>
          <w:rFonts w:ascii="Calibri" w:hAnsi="Calibri" w:eastAsia="PingFang SC"/>
        </w:rPr>
        <w:t xml:space="preserve">，45° 对角线表示没有跨用户优势；离对角线越远且位于上方，说明 matched 版本相对 swapped 版本的用户特异价值越强。点的实心/空心只表示是否通过 TQ/FR gate，不用颜色重复编码质量。B 用 forest/dot plot 报各 agent 的 CFA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cost–CFA Pareto frontier。A–D 分别对应 estimand、不确定性、能力拓扑和效率，不合成单一总分。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w:t>
      </w:r>
      <w:r>
        <w:rPr>
          <w:rFonts w:ascii="Courier New" w:hAnsi="Courier New" w:eastAsia="PingFang SC"/>
          <w:color w:val="6A3E00"/>
          <w:sz w:val="20"/>
        </w:rPr>
        <w:t>PF_matched</w:t>
      </w:r>
      <w:r>
        <w:rPr>
          <w:rFonts w:ascii="Calibri" w:hAnsi="Calibri" w:eastAsia="PingFang SC"/>
        </w:rPr>
        <w:t>、</w:t>
      </w:r>
      <w:r>
        <w:rPr>
          <w:rFonts w:ascii="Courier New" w:hAnsi="Courier New" w:eastAsia="PingFang SC"/>
          <w:color w:val="6A3E00"/>
          <w:sz w:val="20"/>
        </w:rPr>
        <w:t>PF_swapped</w:t>
      </w:r>
      <w:r>
        <w:rPr>
          <w:rFonts w:ascii="Calibri" w:hAnsi="Calibri" w:eastAsia="PingFang SC"/>
        </w:rPr>
        <w:t>、MP、CFA、Worst-view CFA、Neutral Invariance、cost 和 eligibility。E1/E2/E3 分块，商业产品榜与受控 harness 榜不混排；报告置信区间或标准误，而不是只报点估计。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 xml:space="preserve">附录建议保留：逐 family CFA forest plot、描述性的完整 </w:t>
      </w:r>
      <w:r>
        <w:rPr>
          <w:rFonts w:ascii="Courier New" w:hAnsi="Courier New" w:eastAsia="PingFang SC"/>
          <w:color w:val="6A3E00"/>
          <w:sz w:val="20"/>
        </w:rPr>
        <w:t>3 strata × 6 intents</w:t>
      </w:r>
      <w:r>
        <w:rPr>
          <w:rFonts w:ascii="Calibri" w:hAnsi="Calibri" w:eastAsia="PingFang SC"/>
        </w:rPr>
        <w:t xml:space="preserve"> 交叉格、deliverable coverage heatmap、八个 anchor 的独立 S0–S3 曲线、clarification value/turn、retention/update 曲线、多标签 failure co-occurrence UpSet plot、各语言/用户群切片，以及 judge confusion matrix。附录表应给出 24 个 family、48 个 user-task、persona compatibility gate、rubric leaf bank、agent/version/tool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3">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4">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5">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25">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8">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9">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40">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41">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42">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3">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4">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5">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6">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7">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8">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9">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50">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51">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52">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3">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4">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67">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66">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68">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69">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5">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6">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7">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58">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9">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60">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61">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11">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13">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12">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19">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14">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15">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3">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26">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7">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20">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21">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22">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23">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17">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16">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18">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2">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6">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7">
        <w:r>
          <w:rPr>
            <w:rFonts w:ascii="Calibri" w:hAnsi="Calibri" w:eastAsia="PingFang SC"/>
            <w:color w:val="2E74B5"/>
            <w:u w:val="single"/>
            <w:sz w:val="16"/>
            <w:szCs w:val="16"/>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