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v0.55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17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单用户绝对适配分不能证明反事实用户特异性；需要真人来源 CDM、paired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 xml:space="preserve">DeepAlign-Bench 为同一 task family 构造两位都真实合理的用户 A/B。v0.55 不再让 LLM 为 A/B 各自临时生成 rubric，而先从真人 task-conditioned ledger 构造带 provenance、authority、direction 与 acceptable alternatives 的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，再编译成可执行 leaf。系统生成 task-only 和两份 matched artifact，冻结标准交叉评价。结果不压成总分，而同时报告双向 specificity、matched 绝对合格、相对 task-only 的新增收益、共同质量/事实 no-harm 与边界 no-violation。协议实例化在 open-web research、repository software engineering 和 data-centric analysis 三个场景；不声称穷尽所有知识工作。</w:t>
      </w:r>
    </w:p>
    <w:p>
      <w:r>
        <w:rPr>
          <w:rFonts w:ascii="Calibri" w:hAnsi="Calibri" w:eastAsia="PingFang SC"/>
        </w:rPr>
        <w:t>v0.54 任务资源池有 180 个候选 seed（72 DR / 54 Software / 54 Data）。五道作者阶段门预选 60 个 provisional family（24 / 18 / 18），来源为 39 benchmark-derived、12 adapted-real-world、9 newly-authored。这 60 个是等待许可审计、环境绑定、双人反事实审查、contract freeze 和 pilot discrimination 的 task shell，不是已可运行 gold。主论文优先完成 12 个端到端 family（5 DR / 3 Software / 4 Data）。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 ledger→CDM→受约束 rubric→D-JQS/human；方法核心是成对关系真值，而非动态 rubric taxonomy。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CDM + research episodes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stratum、intent、stakes、CDM 的差异/不变/等价/禁止/澄清节点；用户本人确认任务后果与方向，两名标注员审计 provenance、可观察性、原子性、冗余和刻板化，领域专家只判事实/可行性/安全。LLM 只能高召回预填，没有 authority。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从真实任务出发，不从“丰满人物故事”出发。每位用户从随机化/分层 task slate 选 3–5 个真实相关任务；先开放描述，再结构化追问，每条事实记录 spontaneous/prompted/N/A/declined、置信度、替代方案、时间戳、权限与过期日期。公开 offered→eligible→selected→paired→qualified 漏斗。pair 除高对比用户外，还包含 near-neighbor 和本不应变化的 neutral pair，防止只奖励“逢用户必改”。</w:t>
      </w:r>
    </w:p>
    <w:p>
      <w:r>
        <w:rPr>
          <w:rFonts w:ascii="Calibri" w:hAnsi="Calibri" w:eastAsia="PingFang SC"/>
        </w:rPr>
        <w:t xml:space="preserve">CDM 是关系对象 </w:t>
      </w:r>
      <w:r>
        <w:rPr>
          <w:rFonts w:ascii="Courier New" w:hAnsi="Courier New" w:eastAsia="PingFang SC"/>
          <w:color w:val="6A3E00"/>
          <w:sz w:val="20"/>
        </w:rPr>
        <w:t>C(T,E,U_a,U_b)</w:t>
      </w:r>
      <w:r>
        <w:rPr>
          <w:rFonts w:ascii="Calibri" w:hAnsi="Calibri" w:eastAsia="PingFang SC"/>
        </w:rPr>
        <w:t>，不是两份独立 rubric：每个 node 写清决策变量、两位用户的期望关系、可接受等价集合、可观察证据、来源与权威。无 provenance 候选直接排除。Construction freeze 在 reference artifact 前；evaluation freeze 在任何 target-agent 输出前。freeze 只防 post-hoc，真实性来自本人确认，执行可靠性来自 verifier、judge qualification 与盲化人评。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v0.51 已完整导入 </w:t>
      </w:r>
      <w:hyperlink r:id="rId17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 50 tasks、25 structured personas、25 contexts 和 250 官方 pairs，并展开为 501 个候选用户对。v0.54 不再默认跑完 50 题，而是选出 12 个 PDR-derived shell 进入 DR provisional set。原配对只说明 task relevance，不保证 counterfactual separability；因此仍需人工冻结用户契约和 evidence world。</w:t>
      </w:r>
    </w:p>
    <w:p>
      <w:pPr>
        <w:pStyle w:val="Heading1"/>
      </w:pPr>
      <w:r>
        <w:t>5. 运行条件、受约束 rubric 与 judge 资格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生成）。A/B rubric 都从同一冻结 CDM 对称编译，并同时评价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临时改标准。每条 leaf 必须绑定 source node、evidence target、severity、dependency group 与 scorer route；共享 parent node 的 leaves 先 node 内聚合，不把 leaf 当独立样本。</w:t>
      </w:r>
    </w:p>
    <w:p>
      <w:r>
        <w:rPr>
          <w:rFonts w:ascii="Calibri" w:hAnsi="Calibri" w:eastAsia="PingFang SC"/>
        </w:rPr>
        <w:t>D-JQS（DeepAlign Judge Qualification Suite）另放四种预冻结反例：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r>
        <w:rPr>
          <w:rFonts w:ascii="Calibri" w:hAnsi="Calibri" w:eastAsia="PingFang SC"/>
        </w:rPr>
        <w:t>评分按 deterministic verifier → evidence verifier → slice-qualified LLM judge → blinded human escalation 路由。程序 checker 也须用 known-positive/negative、controlled edit 或 mutation test 报 false accept/reject 与 coverage。D-JQS 的 gold 混合确定违规、单一受控编辑和自然真人 artifact；authoring/calibration/hidden qualification 按 family、用户、来源、agent、编辑谱系和时间隔离。AB/BA 之外还测试长度、style、格式、关键词、引用数和语言；关键 slice 不过门就走人工，不能把多个失败 judge 投票平均成合格。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CDM，以及从 CDM 到原子 leaf 的受约束编译；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scoring，专门测 general-good、over-personalized、mention–adoption 和 nuisance bias；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Clarification、rubric compilation 和 judge benchmark 都不能单独作 novelty 主张。</w:t>
      </w:r>
      <w:hyperlink r:id="rId18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0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1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DR 与主动澄清；GAMUT 已有 two-level meta-rubric compiler，RuVerBench 已审计 agentic rubric verification，且 JudgeBench/JUDGE-BENCH 名称已有前作。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</w:t>
      </w:r>
      <w:hyperlink r:id="rId22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</w:t>
      </w:r>
      <w:hyperlink r:id="rId23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r>
        <w:rPr>
          <w:rFonts w:ascii="Calibri" w:hAnsi="Calibri" w:eastAsia="PingFang SC"/>
        </w:rPr>
        <w:t xml:space="preserve"> DeepAlign 必须证明 CDM 相对独立 A/B rubric 会重分类系统/family，或增量预测盲化真人选择；否则只能称透明 measurement extension。</w:t>
      </w:r>
    </w:p>
    <w:p>
      <w:r>
        <w:rPr>
          <w:rFonts w:ascii="Calibri" w:hAnsi="Calibri" w:eastAsia="PingFang SC"/>
        </w:rPr>
        <w:t>最强 reviewer attacks 已预注册为：用户自选任务导致条件 target population；pair cherry-picking；自述不稳定和 demand characteristics；CDM 不完整；atomic leaf double counting；deterministic checker 假可靠；D-JQS 自认证；AB/BA 不控制 verbosity/style；跨 vertical 分数不等距；成本、隐私与偏好漂移。对应控制分别是完整筛选漏斗、contrast/near/neutral 分层、test–retest/可接受替代、protocol-bounded saturation、node-first aggregation、mutation audit、hidden qualification、nuisance edits、vertical-specific reporting 和 12-family 分阶段路线。</w:t>
      </w:r>
    </w:p>
    <w:p>
      <w:pPr>
        <w:pStyle w:val="Heading1"/>
      </w:pPr>
      <w:r>
        <w:t>9. 五天冻结与执行计划</w:t>
      </w:r>
    </w:p>
    <w:p>
      <w:hyperlink r:id="rId24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4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两个月的资源上限固定为优先完成 12 个端到端 family（5 DR / 3 Software / 4 Data），不运行 60×多用户×多条件×多系统的笛卡尔积。三个 vertical 各先完成环境 reset、invariant verifier 和 matched/swapped pilot；效用子集数量由功效模拟冻结。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GAMUT: Two-Level Meta-Rubrics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RuVerBench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2.03468" TargetMode="External"/><Relationship Id="rId20" Type="http://schemas.openxmlformats.org/officeDocument/2006/relationships/hyperlink" Target="https://arxiv.org/abs/2606.27669" TargetMode="External"/><Relationship Id="rId21" Type="http://schemas.openxmlformats.org/officeDocument/2006/relationships/hyperlink" Target="https://arxiv.org/abs/2608.05876" TargetMode="External"/><Relationship Id="rId22" Type="http://schemas.openxmlformats.org/officeDocument/2006/relationships/hyperlink" Target="https://arxiv.org/abs/2607.19322" TargetMode="External"/><Relationship Id="rId23" Type="http://schemas.openxmlformats.org/officeDocument/2006/relationships/hyperlink" Target="https://arxiv.org/abs/2606.29920" TargetMode="External"/><Relationship Id="rId24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