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个性化 Deep Research 交付物的下游决策效用评测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v0.32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9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Artifact Qualification · Human Decision Trial · DDE · Wrong-User Harm</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先证明三臂报告在共同质量上可比且确实个性化，再用真实目标用户、等价任务和随机处理检验 decision regret 是否下降。</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论文图表蓝图</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智能体已经能检索、综合并生成长报告，但现有个性化评测大多仍把“输出是否适合用户”当作最终终点。PDR-Bench 已建立 task–persona 条件下的 absolute adaptation；</w:t>
      </w:r>
      <w:hyperlink r:id="rId11">
        <w:r>
          <w:rPr>
            <w:rFonts w:ascii="Calibri" w:hAnsi="Calibri" w:eastAsia="PingFang SC"/>
            <w:color w:val="2E74B5"/>
            <w:u w:val="single"/>
          </w:rPr>
          <w:t>[4]</w:t>
        </w:r>
      </w:hyperlink>
      <w:r>
        <w:rPr>
          <w:rFonts w:ascii="Calibri" w:hAnsi="Calibri" w:eastAsia="PingFang SC"/>
        </w:rPr>
        <w:t xml:space="preserve"> DeepAlign v0.31 用 matched/swapped、task-only 和 must-change/must-hold/must-not 把它推进到更严格的 counterfactual fit。这个协议在测量上成立，但两者仍共享同一代理终点：</w:t>
      </w:r>
      <w:r>
        <w:rPr>
          <w:rFonts w:ascii="Calibri" w:hAnsi="Calibri" w:eastAsia="PingFang SC"/>
          <w:b/>
        </w:rPr>
        <w:t>报告看起来是否更贴合用户</w:t>
      </w:r>
      <w:r>
        <w:rPr>
          <w:rFonts w:ascii="Calibri" w:hAnsi="Calibri" w:eastAsia="PingFang SC"/>
        </w:rPr>
        <w:t>。对 agent 科研更关键的问题是，报告是否真的改变了用户随后做出的决定。</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因此，v0.32 将主估计对象收敛为 </w:t>
      </w:r>
      <w:r>
        <w:rPr>
          <w:rFonts w:ascii="Calibri" w:hAnsi="Calibri" w:eastAsia="PingFang SC"/>
          <w:b/>
        </w:rPr>
        <w:t>Downstream Decision Effect（DDE）</w:t>
      </w:r>
      <w:r>
        <w:rPr>
          <w:rFonts w:ascii="Calibri" w:hAnsi="Calibri" w:eastAsia="PingFang SC"/>
        </w:rPr>
        <w:t>：在任务、证据、预算与报告共同质量受控后，matched personalized research artifact 相对 task-only artifact 是否降低真实目标用户的决策 regret；wrong-user artifact 是否造成可测伤害。PDR-Bench 问“这份报告是否适合你”；DeepAlign-Bench 改问“这份报告是否让你做出了更好的决定”。这是研究对象的差异，不只是 rubric 或对照设计的差异。</w:t>
      </w:r>
    </w:p>
    <w:p>
      <w:r>
        <w:rPr>
          <w:rFonts w:ascii="Calibri" w:hAnsi="Calibri" w:eastAsia="PingFang SC"/>
        </w:rPr>
        <w:t>Benchmark 采用两阶段协议。</w:t>
      </w:r>
      <w:r>
        <w:rPr>
          <w:rFonts w:ascii="Calibri" w:hAnsi="Calibri" w:eastAsia="PingFang SC"/>
          <w:b/>
        </w:rPr>
        <w:t>Phase A：Artifact Qualification</w:t>
      </w:r>
      <w:r>
        <w:rPr>
          <w:rFonts w:ascii="Calibri" w:hAnsi="Calibri" w:eastAsia="PingFang SC"/>
        </w:rPr>
        <w:t xml:space="preserve"> 复用 v0.31 的 PF、CFA、事实可靠性、三类契约和 JudgeBench，确保进入真人实验的报告在共同质量、长度、关键证据和边界上可比。</w:t>
      </w:r>
      <w:r>
        <w:rPr>
          <w:rFonts w:ascii="Calibri" w:hAnsi="Calibri" w:eastAsia="PingFang SC"/>
          <w:b/>
        </w:rPr>
        <w:t>Phase B：Decision Trial</w:t>
      </w:r>
      <w:r>
        <w:rPr>
          <w:rFonts w:ascii="Calibri" w:hAnsi="Calibri" w:eastAsia="PingFang SC"/>
        </w:rPr>
        <w:t xml:space="preserve"> 将 task-only、matched 和 swapped 报告作为处理，在反事实等价 task shell 上对真实目标用户做区组随机、顺序平衡和盲化；主要测量预冻结混合效用下的 decision regret、硬约束违规与置信度校准，决策时间和认知负担为次要终点。TARS 的 18 人 IDE 研究证明输出适配可以连接真人任务结果，但仍是单域小样本；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和真人代理效度研究则说明不能用合成用户替代主要人类终点。</w:t>
      </w:r>
      <w:hyperlink r:id="rId24">
        <w:r>
          <w:rPr>
            <w:rFonts w:ascii="Calibri" w:hAnsi="Calibri" w:eastAsia="PingFang SC"/>
            <w:color w:val="2E74B5"/>
            <w:u w:val="single"/>
          </w:rPr>
          <w:t>[41]</w:t>
        </w:r>
      </w:hyperlink>
      <w:hyperlink r:id="rId25">
        <w:r>
          <w:rPr>
            <w:rFonts w:ascii="Calibri" w:hAnsi="Calibri" w:eastAsia="PingFang SC"/>
            <w:color w:val="2E74B5"/>
            <w:u w:val="single"/>
          </w:rPr>
          <w:t>[76]</w:t>
        </w:r>
      </w:hyperlink>
    </w:p>
    <w:p>
      <w:r>
        <w:rPr>
          <w:rFonts w:ascii="Calibri" w:hAnsi="Calibri" w:eastAsia="PingFang SC"/>
        </w:rPr>
        <w:t>两个月版本不再以 24 个 family 的广覆盖为先。先做 3 个完整 vertical slice，验证 utility、等价 task shell、盲化和报告质量门；通过后扩到 8–12 个决策 family、约 36–48 名真实目标用户和 2–3 条 agent/报告生成管线。最终样本量必须由 pilot 方差与最小有意义 regret 改善做功效模拟后冻结。长程、动态状态、权限和证据污染只作为少量 stress layer，不与 DDE 竞争主贡献。</w:t>
      </w:r>
    </w:p>
    <w:p>
      <w:r>
        <w:rPr>
          <w:rFonts w:ascii="Calibri" w:hAnsi="Calibri" w:eastAsia="PingFang SC"/>
          <w:b/>
        </w:rPr>
        <w:t>一句话研究目标：</w:t>
      </w:r>
      <w:r>
        <w:rPr>
          <w:rFonts w:ascii="Calibri" w:hAnsi="Calibri" w:eastAsia="PingFang SC"/>
        </w:rPr>
        <w:t>检验个性化 Deep Research 交付物能否在不牺牲事实性、共同质量和边界的前提下，因果性地改善真实目标用户的可验证决策；若 CFA 提高但 DDE 不提高，则明确否定“更贴合的报告必然更有用”这一代理假设。</w:t>
      </w: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在共同质量受控后，matched personalized report 相对 task-only report 是否降低目标用户的可验证决策 regret？</w:t>
      </w:r>
    </w:p>
    <w:p>
      <w:r>
        <w:rPr>
          <w:rFonts w:ascii="Calibri" w:hAnsi="Calibri" w:eastAsia="PingFang SC"/>
          <w:b/>
        </w:rPr>
        <w:t>RQ2（负对照）：</w:t>
      </w:r>
      <w:r>
        <w:rPr>
          <w:rFonts w:ascii="Calibri" w:hAnsi="Calibri" w:eastAsia="PingFang SC"/>
        </w:rPr>
        <w:t>wrong-user/swapped report 是否相对 task-only 增加 regret、硬约束违规或错误置信？</w:t>
      </w:r>
    </w:p>
    <w:p>
      <w:r>
        <w:rPr>
          <w:rFonts w:ascii="Calibri" w:hAnsi="Calibri" w:eastAsia="PingFang SC"/>
          <w:b/>
        </w:rPr>
        <w:t>RQ3（代理效度）：</w:t>
      </w:r>
      <w:r>
        <w:rPr>
          <w:rFonts w:ascii="Calibri" w:hAnsi="Calibri" w:eastAsia="PingFang SC"/>
        </w:rPr>
        <w:t>PF/CFA 与 DDE 的相关性和中介关系有多强；“报告更贴合”何时不能转化为更好的决定？</w:t>
      </w:r>
    </w:p>
    <w:p>
      <w:r>
        <w:rPr>
          <w:rFonts w:ascii="Calibri" w:hAnsi="Calibri" w:eastAsia="PingFang SC"/>
          <w:b/>
        </w:rPr>
        <w:t>RQ4（异质性）：</w:t>
      </w:r>
      <w:r>
        <w:rPr>
          <w:rFonts w:ascii="Calibri" w:hAnsi="Calibri" w:eastAsia="PingFang SC"/>
        </w:rPr>
        <w:t>DDE 是否随决策 family、用户专业度、风险水平、信息渠道与 agent 系统产生可重复差异？长程与动态扰动只作预注册次级分析。</w:t>
      </w:r>
    </w:p>
    <w:p>
      <w:pPr>
        <w:pStyle w:val="Heading2"/>
      </w:pPr>
      <w:r>
        <w:t>1.2 预注册式假设</w:t>
      </w:r>
    </w:p>
    <w:p>
      <w:pPr>
        <w:pStyle w:val="ListBullet"/>
      </w:pPr>
      <w:r>
        <w:rPr>
          <w:rFonts w:ascii="Calibri" w:hAnsi="Calibri" w:eastAsia="PingFang SC"/>
          <w:b/>
        </w:rPr>
        <w:t>H1（决策效果）</w:t>
      </w:r>
      <w:r>
        <w:rPr>
          <w:rFonts w:ascii="Calibri" w:hAnsi="Calibri" w:eastAsia="PingFang SC"/>
        </w:rPr>
        <w:t xml:space="preserve">：通过共同质量等价门后，matched report 的平均 regret 低于 task-only report，即 </w:t>
      </w:r>
      <w:r>
        <w:rPr>
          <w:rFonts w:ascii="Courier New" w:hAnsi="Courier New" w:eastAsia="PingFang SC"/>
          <w:color w:val="6A3E00"/>
          <w:sz w:val="20"/>
        </w:rPr>
        <w:t>DDE &gt; 0</w:t>
      </w:r>
      <w:r>
        <w:rPr>
          <w:rFonts w:ascii="Calibri" w:hAnsi="Calibri" w:eastAsia="PingFang SC"/>
        </w:rPr>
        <w:t>。</w:t>
      </w:r>
    </w:p>
    <w:p>
      <w:pPr>
        <w:pStyle w:val="ListBullet"/>
      </w:pPr>
      <w:r>
        <w:rPr>
          <w:rFonts w:ascii="Calibri" w:hAnsi="Calibri" w:eastAsia="PingFang SC"/>
          <w:b/>
        </w:rPr>
        <w:t>H2（错配伤害）</w:t>
      </w:r>
      <w:r>
        <w:rPr>
          <w:rFonts w:ascii="Calibri" w:hAnsi="Calibri" w:eastAsia="PingFang SC"/>
        </w:rPr>
        <w:t xml:space="preserve">：swapped report 的平均 regret 或硬约束违规率高于 task-only report，即 </w:t>
      </w:r>
      <w:r>
        <w:rPr>
          <w:rFonts w:ascii="Courier New" w:hAnsi="Courier New" w:eastAsia="PingFang SC"/>
          <w:color w:val="6A3E00"/>
          <w:sz w:val="20"/>
        </w:rPr>
        <w:t>WrongUserHarm &gt; 0</w:t>
      </w:r>
      <w:r>
        <w:rPr>
          <w:rFonts w:ascii="Calibri" w:hAnsi="Calibri" w:eastAsia="PingFang SC"/>
        </w:rPr>
        <w:t>。</w:t>
      </w:r>
    </w:p>
    <w:p>
      <w:pPr>
        <w:pStyle w:val="ListBullet"/>
      </w:pPr>
      <w:r>
        <w:rPr>
          <w:rFonts w:ascii="Calibri" w:hAnsi="Calibri" w:eastAsia="PingFang SC"/>
          <w:b/>
        </w:rPr>
        <w:t>H3（代理不充分）</w:t>
      </w:r>
      <w:r>
        <w:rPr>
          <w:rFonts w:ascii="Calibri" w:hAnsi="Calibri" w:eastAsia="PingFang SC"/>
        </w:rPr>
        <w:t>：PF/CFA 对 DDE 有正相关但不能完全解释 DDE；至少存在 CFA 高而 DDE 近零或为负的 family/agent 切片。</w:t>
      </w:r>
    </w:p>
    <w:p>
      <w:pPr>
        <w:pStyle w:val="ListBullet"/>
      </w:pPr>
      <w:r>
        <w:rPr>
          <w:rFonts w:ascii="Calibri" w:hAnsi="Calibri" w:eastAsia="PingFang SC"/>
          <w:b/>
        </w:rPr>
        <w:t>H4（可验证异质性）</w:t>
      </w:r>
      <w:r>
        <w:rPr>
          <w:rFonts w:ascii="Calibri" w:hAnsi="Calibri" w:eastAsia="PingFang SC"/>
        </w:rPr>
        <w:t>：DDE 在证据依赖强、偏好真正改变行动集合的任务中高于仅改变呈现风格的任务。</w:t>
      </w:r>
    </w:p>
    <w:p>
      <w:r>
        <w:rPr>
          <w:rFonts w:ascii="Calibri" w:hAnsi="Calibri" w:eastAsia="PingFang SC"/>
        </w:rPr>
        <w:t>以下任一结果都会削弱或否定核心主张：utility 无法在输出前稳定冻结；等价 task shell 的难度不可交换；matched 报告无法在共同质量上与 task-only 配平；DDE 在预注册区间内为零或负；或真人结果只能被主观满意度、顺序效应解释。如果 CFA 高而 DDE≈0，论文应报告代理终点失效，而不是把 CFA 重新升为主指标。</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总体框架：从报告资格审查到真实用户决策效果</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28"/>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两阶段主张图。Phase A 证明 task-only、matched、swapped 报告可比；Phase B 估计 DDE 与 wrong-user harm。</w:t>
      </w:r>
    </w:p>
    <w:p>
      <w:pPr>
        <w:sectPr>
          <w:headerReference w:type="default" r:id="rId26"/>
          <w:footerReference w:type="default" r:id="rId27"/>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1">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2">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3">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4">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5">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6">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7">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8">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9">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0">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1">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2">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3">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4">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5">
        <w:r>
          <w:rPr>
            <w:rFonts w:ascii="Calibri" w:hAnsi="Calibri" w:eastAsia="PingFang SC"/>
            <w:color w:val="2E74B5"/>
            <w:u w:val="single"/>
          </w:rPr>
          <w:t>[14]</w:t>
        </w:r>
      </w:hyperlink>
      <w:hyperlink r:id="rId46">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7">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8">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9">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0">
        <w:r>
          <w:rPr>
            <w:rFonts w:ascii="Calibri" w:hAnsi="Calibri" w:eastAsia="PingFang SC"/>
            <w:color w:val="2E74B5"/>
            <w:u w:val="single"/>
          </w:rPr>
          <w:t>[19]</w:t>
        </w:r>
      </w:hyperlink>
      <w:hyperlink r:id="rId51">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2">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3">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4">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5">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6">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7">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8">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3">
        <w:r>
          <w:rPr>
            <w:rFonts w:ascii="Calibri" w:hAnsi="Calibri" w:eastAsia="PingFang SC"/>
            <w:color w:val="2E74B5"/>
            <w:u w:val="single"/>
          </w:rPr>
          <w:t>[26]</w:t>
        </w:r>
      </w:hyperlink>
      <w:hyperlink r:id="rId54">
        <w:r>
          <w:rPr>
            <w:rFonts w:ascii="Calibri" w:hAnsi="Calibri" w:eastAsia="PingFang SC"/>
            <w:color w:val="2E74B5"/>
            <w:u w:val="single"/>
          </w:rPr>
          <w:t>[27]</w:t>
        </w:r>
      </w:hyperlink>
      <w:hyperlink r:id="rId55">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6">
        <w:r>
          <w:rPr>
            <w:rFonts w:ascii="Calibri" w:hAnsi="Calibri" w:eastAsia="PingFang SC"/>
            <w:color w:val="2E74B5"/>
            <w:u w:val="single"/>
          </w:rPr>
          <w:t>[30]</w:t>
        </w:r>
      </w:hyperlink>
      <w:hyperlink r:id="rId57">
        <w:r>
          <w:rPr>
            <w:rFonts w:ascii="Calibri" w:hAnsi="Calibri" w:eastAsia="PingFang SC"/>
            <w:color w:val="2E74B5"/>
            <w:u w:val="single"/>
          </w:rPr>
          <w:t>[31]</w:t>
        </w:r>
      </w:hyperlink>
      <w:hyperlink r:id="rId58">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9">
              <w:r>
                <w:rPr>
                  <w:rFonts w:ascii="Calibri" w:hAnsi="Calibri" w:eastAsia="PingFang SC"/>
                  <w:color w:val="2E74B5"/>
                  <w:u w:val="single"/>
                  <w:sz w:val="18"/>
                  <w:szCs w:val="18"/>
                </w:rPr>
                <w:t>[33]</w:t>
              </w:r>
            </w:hyperlink>
            <w:hyperlink r:id="rId60">
              <w:r>
                <w:rPr>
                  <w:rFonts w:ascii="Calibri" w:hAnsi="Calibri" w:eastAsia="PingFang SC"/>
                  <w:color w:val="2E74B5"/>
                  <w:u w:val="single"/>
                  <w:sz w:val="18"/>
                  <w:szCs w:val="18"/>
                </w:rPr>
                <w:t>[35]</w:t>
              </w:r>
            </w:hyperlink>
            <w:hyperlink r:id="rId61">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2">
              <w:r>
                <w:rPr>
                  <w:rFonts w:ascii="Calibri" w:hAnsi="Calibri" w:eastAsia="PingFang SC"/>
                  <w:color w:val="2E74B5"/>
                  <w:u w:val="single"/>
                  <w:sz w:val="18"/>
                  <w:szCs w:val="18"/>
                </w:rPr>
                <w:t>[34]</w:t>
              </w:r>
            </w:hyperlink>
            <w:hyperlink r:id="rId63">
              <w:r>
                <w:rPr>
                  <w:rFonts w:ascii="Calibri" w:hAnsi="Calibri" w:eastAsia="PingFang SC"/>
                  <w:color w:val="2E74B5"/>
                  <w:u w:val="single"/>
                  <w:sz w:val="18"/>
                  <w:szCs w:val="18"/>
                </w:rPr>
                <w:t>[37]</w:t>
              </w:r>
            </w:hyperlink>
            <w:hyperlink r:id="rId64">
              <w:r>
                <w:rPr>
                  <w:rFonts w:ascii="Calibri" w:hAnsi="Calibri" w:eastAsia="PingFang SC"/>
                  <w:color w:val="2E74B5"/>
                  <w:u w:val="single"/>
                  <w:sz w:val="18"/>
                  <w:szCs w:val="18"/>
                </w:rPr>
                <w:t>[38]</w:t>
              </w:r>
            </w:hyperlink>
            <w:hyperlink r:id="rId65">
              <w:r>
                <w:rPr>
                  <w:rFonts w:ascii="Calibri" w:hAnsi="Calibri" w:eastAsia="PingFang SC"/>
                  <w:color w:val="2E74B5"/>
                  <w:u w:val="single"/>
                  <w:sz w:val="18"/>
                  <w:szCs w:val="18"/>
                </w:rPr>
                <w:t>[48]</w:t>
              </w:r>
            </w:hyperlink>
            <w:hyperlink r:id="rId66">
              <w:r>
                <w:rPr>
                  <w:rFonts w:ascii="Calibri" w:hAnsi="Calibri" w:eastAsia="PingFang SC"/>
                  <w:color w:val="2E74B5"/>
                  <w:u w:val="single"/>
                  <w:sz w:val="18"/>
                  <w:szCs w:val="18"/>
                </w:rPr>
                <w:t>[49]</w:t>
              </w:r>
            </w:hyperlink>
            <w:hyperlink r:id="rId67">
              <w:r>
                <w:rPr>
                  <w:rFonts w:ascii="Calibri" w:hAnsi="Calibri" w:eastAsia="PingFang SC"/>
                  <w:color w:val="2E74B5"/>
                  <w:u w:val="single"/>
                  <w:sz w:val="18"/>
                  <w:szCs w:val="18"/>
                </w:rPr>
                <w:t>[50]</w:t>
              </w:r>
            </w:hyperlink>
            <w:hyperlink r:id="rId68">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9">
              <w:r>
                <w:rPr>
                  <w:rFonts w:ascii="Calibri" w:hAnsi="Calibri" w:eastAsia="PingFang SC"/>
                  <w:color w:val="2E74B5"/>
                  <w:u w:val="single"/>
                  <w:sz w:val="18"/>
                  <w:szCs w:val="18"/>
                </w:rPr>
                <w:t>[39]</w:t>
              </w:r>
            </w:hyperlink>
            <w:hyperlink r:id="rId70">
              <w:r>
                <w:rPr>
                  <w:rFonts w:ascii="Calibri" w:hAnsi="Calibri" w:eastAsia="PingFang SC"/>
                  <w:color w:val="2E74B5"/>
                  <w:u w:val="single"/>
                  <w:sz w:val="18"/>
                  <w:szCs w:val="18"/>
                </w:rPr>
                <w:t>[43]</w:t>
              </w:r>
            </w:hyperlink>
            <w:hyperlink r:id="rId71">
              <w:r>
                <w:rPr>
                  <w:rFonts w:ascii="Calibri" w:hAnsi="Calibri" w:eastAsia="PingFang SC"/>
                  <w:color w:val="2E74B5"/>
                  <w:u w:val="single"/>
                  <w:sz w:val="18"/>
                  <w:szCs w:val="18"/>
                </w:rPr>
                <w:t>[44]</w:t>
              </w:r>
            </w:hyperlink>
            <w:hyperlink r:id="rId72">
              <w:r>
                <w:rPr>
                  <w:rFonts w:ascii="Calibri" w:hAnsi="Calibri" w:eastAsia="PingFang SC"/>
                  <w:color w:val="2E74B5"/>
                  <w:u w:val="single"/>
                  <w:sz w:val="18"/>
                  <w:szCs w:val="18"/>
                </w:rPr>
                <w:t>[45]</w:t>
              </w:r>
            </w:hyperlink>
            <w:hyperlink r:id="rId73">
              <w:r>
                <w:rPr>
                  <w:rFonts w:ascii="Calibri" w:hAnsi="Calibri" w:eastAsia="PingFang SC"/>
                  <w:color w:val="2E74B5"/>
                  <w:u w:val="single"/>
                  <w:sz w:val="18"/>
                  <w:szCs w:val="18"/>
                </w:rPr>
                <w:t>[46]</w:t>
              </w:r>
            </w:hyperlink>
            <w:hyperlink r:id="rId74">
              <w:r>
                <w:rPr>
                  <w:rFonts w:ascii="Calibri" w:hAnsi="Calibri" w:eastAsia="PingFang SC"/>
                  <w:color w:val="2E74B5"/>
                  <w:u w:val="single"/>
                  <w:sz w:val="18"/>
                  <w:szCs w:val="18"/>
                </w:rPr>
                <w:t>[47]</w:t>
              </w:r>
            </w:hyperlink>
            <w:hyperlink r:id="rId75">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6">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7">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CFA、三类契约、跨 cue 稳健性和 JudgeBench 负责确认处理；DDE 与 WrongUserHarm 才承担核心结论。</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8">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9">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80">
        <w:r>
          <w:rPr>
            <w:rFonts w:ascii="Calibri" w:hAnsi="Calibri" w:eastAsia="PingFang SC"/>
            <w:color w:val="2E74B5"/>
            <w:u w:val="single"/>
          </w:rPr>
          <w:t>[24]</w:t>
        </w:r>
      </w:hyperlink>
      <w:hyperlink r:id="rId81">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5.0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四重门后，才扩到 </w:t>
      </w:r>
      <w:r>
        <w:rPr>
          <w:rFonts w:ascii="Calibri" w:hAnsi="Calibri" w:eastAsia="PingFang SC"/>
          <w:b/>
        </w:rPr>
        <w:t>8–12 个决策 family</w:t>
      </w:r>
      <w:r>
        <w:rPr>
          <w:rFonts w:ascii="Calibri" w:hAnsi="Calibri" w:eastAsia="PingFang SC"/>
        </w:rPr>
        <w:t>。真人招募暂按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2–4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4">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编译接口、direction node 与叶节点 schema、聚合规则</w:t>
      </w:r>
      <w:r>
        <w:rPr>
          <w:rFonts w:ascii="Calibri" w:hAnsi="Calibri" w:eastAsia="PingFang SC"/>
        </w:rPr>
        <w:t xml:space="preserve">；具体评价项由 case 元数据和预先写好的评价契约选择。仓库中除 case/template/module/leaf/metric/data-factory 外，v0.31 新增 </w:t>
      </w:r>
      <w:r>
        <w:rPr>
          <w:rFonts w:ascii="Courier New" w:hAnsi="Courier New" w:eastAsia="PingFang SC"/>
          <w:color w:val="6A3E00"/>
          <w:sz w:val="20"/>
        </w:rPr>
        <w:t>rubric_node_registry.yaml</w:t>
      </w:r>
      <w:r>
        <w:rPr>
          <w:rFonts w:ascii="Calibri" w:hAnsi="Calibri" w:eastAsia="PingFang SC"/>
        </w:rPr>
        <w:t>、</w:t>
      </w:r>
      <w:r>
        <w:rPr>
          <w:rFonts w:ascii="Courier New" w:hAnsi="Courier New" w:eastAsia="PingFang SC"/>
          <w:color w:val="6A3E00"/>
          <w:sz w:val="20"/>
        </w:rPr>
        <w:t>construction_annotation.protocol.yaml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，分别冻结 module 到 case-specific leaf 之间的可复用方向、分层标注和三环境开工顺序。自动 validator、路由器和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契约；（4）证据包与允许访问范围；（5）版本化模板库。它在任何被测输出产生前按六步运行：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等字段选择父级 module；</w:t>
      </w:r>
    </w:p>
    <w:p>
      <w:pPr>
        <w:numPr>
          <w:ilvl w:val="0"/>
          <w:numId w:val="22"/>
        </w:numPr>
        <w:spacing w:after="80" w:line="290" w:lineRule="auto"/>
        <w:ind w:left="540" w:hanging="279"/>
      </w:pPr>
      <w:r>
        <w:rPr>
          <w:rFonts w:ascii="Calibri" w:hAnsi="Calibri" w:eastAsia="PingFang SC"/>
          <w:b/>
        </w:rPr>
        <w:t>Select nodes</w:t>
      </w:r>
      <w:r>
        <w:rPr>
          <w:rFonts w:ascii="Calibri" w:hAnsi="Calibri" w:eastAsia="PingFang SC"/>
        </w:rPr>
        <w:t>：根据冻结的 metadata/contracts 选择适用 direction node；</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，因此另报告实际受益而非仅仅可区分：</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w:t>
      </w:r>
      <w:r>
        <w:rPr>
          <w:rFonts w:ascii="Courier New" w:hAnsi="Courier New" w:eastAsia="PingFang SC"/>
          <w:color w:val="6A3E00"/>
          <w:sz w:val="20"/>
        </w:rPr>
        <w:t>Gain_mean = (G_a + G_b)/2</w:t>
      </w:r>
      <w:r>
        <w:rPr>
          <w:rFonts w:ascii="Calibri" w:hAnsi="Calibri" w:eastAsia="PingFang SC"/>
        </w:rPr>
        <w:t xml:space="preserve"> 描述平均 personalized value added，</w:t>
      </w:r>
      <w:r>
        <w:rPr>
          <w:rFonts w:ascii="Courier New" w:hAnsi="Courier New" w:eastAsia="PingFang SC"/>
          <w:color w:val="6A3E00"/>
          <w:sz w:val="20"/>
        </w:rPr>
        <w:t>Gain_min = min(G_a,G_b)</w:t>
      </w:r>
      <w:r>
        <w:rPr>
          <w:rFonts w:ascii="Calibri" w:hAnsi="Calibri" w:eastAsia="PingFang SC"/>
        </w:rPr>
        <w:t xml:space="preserve"> 防止平均增益掩盖一位用户没有受益。最终把 personalization 画成二维 profile：横轴为跨用户 specificity（CFA），纵轴为相对 task-only benefit（Gain），而不是再压成一个总分。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 &gt; 0</w:t>
      </w:r>
      <w:r>
        <w:rPr>
          <w:rFonts w:ascii="Calibri" w:hAnsi="Calibri" w:eastAsia="PingFang SC"/>
        </w:rPr>
        <w:t xml:space="preserve"> 且 </w:t>
      </w:r>
      <w:r>
        <w:rPr>
          <w:rFonts w:ascii="Courier New" w:hAnsi="Courier New" w:eastAsia="PingFang SC"/>
          <w:color w:val="6A3E00"/>
          <w:sz w:val="20"/>
        </w:rPr>
        <w:t>Δ_b &gt; 0</w:t>
      </w:r>
      <w:r>
        <w:rPr>
          <w:rFonts w:ascii="Calibri" w:hAnsi="Calibri" w:eastAsia="PingFang SC"/>
        </w:rPr>
        <w:t>，目标用户与交付物的匹配在两个方向都成立；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G_a ≥ 0</w:t>
      </w:r>
      <w:r>
        <w:rPr>
          <w:rFonts w:ascii="Calibri" w:hAnsi="Calibri" w:eastAsia="PingFang SC"/>
        </w:rPr>
        <w:t xml:space="preserve"> 且 </w:t>
      </w:r>
      <w:r>
        <w:rPr>
          <w:rFonts w:ascii="Courier New" w:hAnsi="Courier New" w:eastAsia="PingFang SC"/>
          <w:color w:val="6A3E00"/>
          <w:sz w:val="20"/>
        </w:rPr>
        <w:t>G_b ≥ 0</w:t>
      </w:r>
      <w:r>
        <w:rPr>
          <w:rFonts w:ascii="Calibri" w:hAnsi="Calibri" w:eastAsia="PingFang SC"/>
        </w:rPr>
        <w:t>，至少没有一位用户比 task-only baseline 更差；</w:t>
      </w:r>
    </w:p>
    <w:p>
      <w:pPr>
        <w:numPr>
          <w:ilvl w:val="0"/>
          <w:numId w:val="24"/>
        </w:numPr>
        <w:spacing w:after="80" w:line="290" w:lineRule="auto"/>
        <w:ind w:left="540" w:hanging="279"/>
      </w:pPr>
      <w:r>
        <w:rPr>
          <w:rFonts w:ascii="Calibri" w:hAnsi="Calibri" w:eastAsia="PingFang SC"/>
        </w:rPr>
        <w:t>matched outputs 均通过 TQ、FR、must-hold 与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下游决策主指标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平均成总分。它们分别承担处理操纵检查、共同质量门和机制解释。只有通过 TQ/FR/长度/证据覆盖/边界等价门的报告才进入 Phase B；若 CFA 高但 DDE≈0，结论是 artifact-fit 代理终点不充分，而不是实验失败后改回 CFA 主榜。</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Judge 体系与独立 JudgeBench</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5">
        <w:r>
          <w:rPr>
            <w:rFonts w:ascii="Calibri" w:hAnsi="Calibri" w:eastAsia="PingFang SC"/>
            <w:color w:val="2E74B5"/>
            <w:u w:val="single"/>
          </w:rPr>
          <w:t>[14]</w:t>
        </w:r>
      </w:hyperlink>
      <w:hyperlink r:id="rId46">
        <w:r>
          <w:rPr>
            <w:rFonts w:ascii="Calibri" w:hAnsi="Calibri" w:eastAsia="PingFang SC"/>
            <w:color w:val="2E74B5"/>
            <w:u w:val="single"/>
          </w:rPr>
          <w:t>[15]</w:t>
        </w:r>
      </w:hyperlink>
      <w:hyperlink r:id="rId47">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6"/>
        </w:numPr>
        <w:spacing w:after="80" w:line="290" w:lineRule="auto"/>
        <w:ind w:left="540" w:hanging="279"/>
      </w:pPr>
      <w:r>
        <w:rPr>
          <w:rFonts w:ascii="Calibri" w:hAnsi="Calibri" w:eastAsia="PingFang SC"/>
        </w:rPr>
        <w:t>Task only；</w:t>
      </w:r>
    </w:p>
    <w:p>
      <w:pPr>
        <w:numPr>
          <w:ilvl w:val="0"/>
          <w:numId w:val="26"/>
        </w:numPr>
        <w:spacing w:after="80" w:line="290" w:lineRule="auto"/>
        <w:ind w:left="540" w:hanging="279"/>
      </w:pPr>
      <w:r>
        <w:rPr>
          <w:rFonts w:ascii="Calibri" w:hAnsi="Calibri" w:eastAsia="PingFang SC"/>
        </w:rPr>
        <w:t>Oracle structured persona；</w:t>
      </w:r>
    </w:p>
    <w:p>
      <w:pPr>
        <w:numPr>
          <w:ilvl w:val="0"/>
          <w:numId w:val="26"/>
        </w:numPr>
        <w:spacing w:after="80" w:line="290" w:lineRule="auto"/>
        <w:ind w:left="540" w:hanging="279"/>
      </w:pPr>
      <w:r>
        <w:rPr>
          <w:rFonts w:ascii="Calibri" w:hAnsi="Calibri" w:eastAsia="PingFang SC"/>
        </w:rPr>
        <w:t>语义等价的自然对话历史；</w:t>
      </w:r>
    </w:p>
    <w:p>
      <w:pPr>
        <w:numPr>
          <w:ilvl w:val="0"/>
          <w:numId w:val="26"/>
        </w:numPr>
        <w:spacing w:after="80" w:line="290" w:lineRule="auto"/>
        <w:ind w:left="540" w:hanging="279"/>
      </w:pPr>
      <w:r>
        <w:rPr>
          <w:rFonts w:ascii="Calibri" w:hAnsi="Calibri" w:eastAsia="PingFang SC"/>
        </w:rPr>
        <w:t>历史 + 检索式 memory；</w:t>
      </w:r>
    </w:p>
    <w:p>
      <w:pPr>
        <w:numPr>
          <w:ilvl w:val="0"/>
          <w:numId w:val="26"/>
        </w:numPr>
        <w:spacing w:after="80" w:line="290" w:lineRule="auto"/>
        <w:ind w:left="540" w:hanging="279"/>
      </w:pPr>
      <w:r>
        <w:rPr>
          <w:rFonts w:ascii="Calibri" w:hAnsi="Calibri" w:eastAsia="PingFang SC"/>
        </w:rPr>
        <w:t>主动澄清；</w:t>
      </w:r>
    </w:p>
    <w:p>
      <w:pPr>
        <w:numPr>
          <w:ilvl w:val="0"/>
          <w:numId w:val="26"/>
        </w:numPr>
        <w:spacing w:after="80" w:line="290" w:lineRule="auto"/>
        <w:ind w:left="540" w:hanging="279"/>
      </w:pPr>
      <w:r>
        <w:rPr>
          <w:rFonts w:ascii="Calibri" w:hAnsi="Calibri" w:eastAsia="PingFang SC"/>
        </w:rPr>
        <w:t>Persona shuffled（目标用户不变、只交换可见 signal bundle 的负对照）；</w:t>
      </w:r>
    </w:p>
    <w:p>
      <w:pPr>
        <w:numPr>
          <w:ilvl w:val="0"/>
          <w:numId w:val="26"/>
        </w:numPr>
        <w:spacing w:after="80" w:line="290" w:lineRule="auto"/>
        <w:ind w:left="540" w:hanging="279"/>
      </w:pPr>
      <w:r>
        <w:rPr>
          <w:rFonts w:ascii="Calibri" w:hAnsi="Calibri" w:eastAsia="PingFang SC"/>
        </w:rPr>
        <w:t>Irrelevant persona（无关属性，过度个性化探针）；</w:t>
      </w:r>
    </w:p>
    <w:p>
      <w:pPr>
        <w:numPr>
          <w:ilvl w:val="0"/>
          <w:numId w:val="26"/>
        </w:numPr>
        <w:spacing w:after="80" w:line="290" w:lineRule="auto"/>
        <w:ind w:left="540" w:hanging="279"/>
      </w:pPr>
      <w:r>
        <w:rPr>
          <w:rFonts w:ascii="Calibri" w:hAnsi="Calibri" w:eastAsia="PingFang SC"/>
        </w:rPr>
        <w:t>Contradictory/dated history（冲突与时效）；</w:t>
      </w:r>
    </w:p>
    <w:p>
      <w:pPr>
        <w:numPr>
          <w:ilvl w:val="0"/>
          <w:numId w:val="26"/>
        </w:numPr>
        <w:spacing w:after="80" w:line="290" w:lineRule="auto"/>
        <w:ind w:left="540" w:hanging="279"/>
      </w:pPr>
      <w:r>
        <w:rPr>
          <w:rFonts w:ascii="Calibri" w:hAnsi="Calibri" w:eastAsia="PingFang SC"/>
        </w:rPr>
        <w:t>Context dilution（不同长度和位置）；</w:t>
      </w:r>
    </w:p>
    <w:p>
      <w:pPr>
        <w:numPr>
          <w:ilvl w:val="0"/>
          <w:numId w:val="26"/>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：先完成 3 个端到端 decision vertical slice；通过 utility 可冻结、task shell 等价、报告质量配平和盲化门后，扩到 8–12 个决策 family、约 36–48 名真实目标用户和 2–3 条可比 agent/报告生成管线。Phase A 可运行更多离线 artifact episode，但 Phase B 的真人功效优先于 taxonomy 或 agent 数量。长期状态、证据污染和权限只在 2–4 个适用 anchor 上做单因素压力层。</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7"/>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7"/>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7"/>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7"/>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先承认 PDR-Bench 已能用 task/persona-conditioned P-Score 评价 absolute adaptation，v0.31 的跨用户 2×2 矩阵只是把 artifact-fit 的识别做得更严格。v0.32 的核心增量不再是另一种 fit 分数，而是把 task-only、matched、swapped 报告作为随机化处理，检验它们是否降低真实目标用户在预冻结 utility 下的 decision regret。PF/CFA、</w:t>
      </w:r>
      <w:r>
        <w:rPr>
          <w:rFonts w:ascii="Courier New" w:hAnsi="Courier New" w:eastAsia="PingFang SC"/>
          <w:color w:val="6A3E00"/>
          <w:sz w:val="20"/>
        </w:rPr>
        <w:t>must-change / must-hold / must-not</w:t>
      </w:r>
      <w:r>
        <w:rPr>
          <w:rFonts w:ascii="Calibri" w:hAnsi="Calibri" w:eastAsia="PingFang SC"/>
        </w:rPr>
        <w:t>、目标用户盲评和 JudgeBench 只确认处理成立并解释机制；DDE、WrongUserHarm、硬约束和置信度校准承担主要结论。更多任务、agent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28"/>
        </w:numPr>
        <w:spacing w:after="80" w:line="290" w:lineRule="auto"/>
        <w:ind w:left="540" w:hanging="279"/>
      </w:pPr>
      <w:r>
        <w:rPr>
          <w:rFonts w:ascii="Calibri" w:hAnsi="Calibri" w:eastAsia="PingFang SC"/>
          <w:b/>
        </w:rPr>
        <w:t>核心贡献：Downstream Decision Effect protocol。</w:t>
      </w:r>
      <w:r>
        <w:rPr>
          <w:rFonts w:ascii="Calibri" w:hAnsi="Calibri" w:eastAsia="PingFang SC"/>
        </w:rPr>
        <w:t xml:space="preserve"> 把个性化研究交付物作为随机处理，以目标用户的可验证 decision regret、错配伤害和硬约束违规为终点；</w:t>
      </w:r>
    </w:p>
    <w:p>
      <w:pPr>
        <w:numPr>
          <w:ilvl w:val="0"/>
          <w:numId w:val="28"/>
        </w:numPr>
        <w:spacing w:after="80" w:line="290" w:lineRule="auto"/>
        <w:ind w:left="540" w:hanging="279"/>
      </w:pPr>
      <w:r>
        <w:rPr>
          <w:rFonts w:ascii="Calibri" w:hAnsi="Calibri" w:eastAsia="PingFang SC"/>
          <w:b/>
        </w:rPr>
        <w:t>两阶段 benchmark。</w:t>
      </w:r>
      <w:r>
        <w:rPr>
          <w:rFonts w:ascii="Calibri" w:hAnsi="Calibri" w:eastAsia="PingFang SC"/>
        </w:rPr>
        <w:t xml:space="preserve"> Phase A 用跨用户 CFA、共同质量和边界验证处理；Phase B 用真实用户、等价 task shell、盲化与区组随机估计 DDE；</w:t>
      </w:r>
    </w:p>
    <w:p>
      <w:pPr>
        <w:numPr>
          <w:ilvl w:val="0"/>
          <w:numId w:val="28"/>
        </w:numPr>
        <w:spacing w:after="80" w:line="290" w:lineRule="auto"/>
        <w:ind w:left="540" w:hanging="279"/>
      </w:pPr>
      <w:r>
        <w:rPr>
          <w:rFonts w:ascii="Calibri" w:hAnsi="Calibri" w:eastAsia="PingFang SC"/>
          <w:b/>
        </w:rPr>
        <w:t>可复现的 decision environment 与 utility verifier。</w:t>
      </w:r>
      <w:r>
        <w:rPr>
          <w:rFonts w:ascii="Calibri" w:hAnsi="Calibri" w:eastAsia="PingFang SC"/>
        </w:rPr>
        <w:t xml:space="preserve"> 把硬约束、环境终态、证据依赖权衡和用户确认软权重预冻结，避免把满意度当效用；</w:t>
      </w:r>
    </w:p>
    <w:p>
      <w:pPr>
        <w:numPr>
          <w:ilvl w:val="0"/>
          <w:numId w:val="28"/>
        </w:numPr>
        <w:spacing w:after="80" w:line="290" w:lineRule="auto"/>
        <w:ind w:left="540" w:hanging="279"/>
      </w:pPr>
      <w:r>
        <w:rPr>
          <w:rFonts w:ascii="Calibri" w:hAnsi="Calibri" w:eastAsia="PingFang SC"/>
          <w:b/>
        </w:rPr>
        <w:t>代理效度证据。</w:t>
      </w:r>
      <w:r>
        <w:rPr>
          <w:rFonts w:ascii="Calibri" w:hAnsi="Calibri" w:eastAsia="PingFang SC"/>
        </w:rPr>
        <w:t xml:space="preserve"> 直接检验 PF/CFA 何时预测、何时不能预测真实决策收益；</w:t>
      </w:r>
    </w:p>
    <w:p>
      <w:pPr>
        <w:numPr>
          <w:ilvl w:val="0"/>
          <w:numId w:val="28"/>
        </w:numPr>
        <w:spacing w:after="80" w:line="290" w:lineRule="auto"/>
        <w:ind w:left="540" w:hanging="279"/>
      </w:pPr>
      <w:r>
        <w:rPr>
          <w:rFonts w:ascii="Calibri" w:hAnsi="Calibri" w:eastAsia="PingFang SC"/>
        </w:rPr>
        <w:t>Atlas、三类契约、Rubric Compiler、JudgeBench 和 stress layer 作为构造与诊断基础设施，而非并列创新。</w:t>
      </w:r>
    </w:p>
    <w:p>
      <w:pPr>
        <w:pStyle w:val="Heading2"/>
      </w:pPr>
      <w:r>
        <w:t>12.2 Go / No-Go 门槛</w:t>
      </w:r>
    </w:p>
    <w:p>
      <w:pPr>
        <w:pStyle w:val="ListBullet"/>
      </w:pPr>
      <w:r>
        <w:rPr>
          <w:rFonts w:ascii="Calibri" w:hAnsi="Calibri" w:eastAsia="PingFang SC"/>
        </w:rPr>
        <w:t>至少 2/3 vertical slice 能在输出前冻结可审计 utility，并通过等价 task-shell、盲化与报告质量配平；</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pilot 后完成功效模拟并冻结最小有意义 regret 改善、样本量、主要终点和流失处理；</w:t>
      </w:r>
    </w:p>
    <w:p>
      <w:pPr>
        <w:pStyle w:val="ListBullet"/>
      </w:pPr>
      <w:r>
        <w:rPr>
          <w:rFonts w:ascii="Calibri" w:hAnsi="Calibri" w:eastAsia="PingFang SC"/>
        </w:rPr>
        <w:t xml:space="preserve">主实验 </w:t>
      </w:r>
      <w:r>
        <w:rPr>
          <w:rFonts w:ascii="Courier New" w:hAnsi="Courier New" w:eastAsia="PingFang SC"/>
          <w:color w:val="6A3E00"/>
          <w:sz w:val="20"/>
        </w:rPr>
        <w:t>DDE &gt; 0</w:t>
      </w:r>
      <w:r>
        <w:rPr>
          <w:rFonts w:ascii="Calibri" w:hAnsi="Calibri" w:eastAsia="PingFang SC"/>
        </w:rPr>
        <w:t xml:space="preserve"> 的区间达到预注册证据门，且 WrongUserHarm、硬约束与校准结果方向一致；</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至少出现可解释的 </w:t>
      </w:r>
      <w:r>
        <w:rPr>
          <w:rFonts w:ascii="Courier New" w:hAnsi="Courier New" w:eastAsia="PingFang SC"/>
          <w:color w:val="6A3E00"/>
          <w:sz w:val="20"/>
        </w:rPr>
        <w:t>artifact fit → decision utility</w:t>
      </w:r>
      <w:r>
        <w:rPr>
          <w:rFonts w:ascii="Calibri" w:hAnsi="Calibri" w:eastAsia="PingFang SC"/>
        </w:rPr>
        <w:t xml:space="preserve"> 异质性；否则报告 CFA 对 DDE 的代理失效，不把零结果包装成榜单。</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3 个 decision vertical slice、utility schema 与等价 task-shell 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utility 是否可在输出前定义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8–12 family、参与者与主要终点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9"/>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29"/>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9"/>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9"/>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29"/>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29"/>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9"/>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9"/>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9"/>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：3 个端到端 vertical slice 先验证构念；通过后扩到 8–12 个决策 family。预计约 36–48 名真实目标用户，但最终样本量由 pilot 方差和最小有意义 regret 改善做功效模拟后冻结。</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：首版只验证一件核心事情：个性化研究交付物是否因果性地改善目标用户的可验证决策。若 CFA 高而 DDE 不提高，论文将报告 artifact-fit 代理失效。论文不声称覆盖所有 DR 模式，也不从 final-only 数据推断内部理解机制。</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17. v0.32 开工方案：先验证 artifact → decision 的完整因果链</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user/family 方差和 power simulation 冻结 8–12 个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主数据不从研究者写人物小传开始，而从“谁真的需要这个任务”开始。建议招募约 32–40 位参与者，每人选择 1–2 个与自己真实决策或工作相关的 task shell，并进行 30–45 分钟结构化 elicitation：目标/成功标准、知识、硬软约束、风险与可逆性、受众/工作流、权限/披露边界、当前状态与近期事件。每条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82">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9">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难；E1 后追加约 2–4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service、checkpoint/fork/reset、event scheduler、private workspace/permission、clarification/conflict/update/handoff</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事件前分支等价；未来状态泄漏；时序与权限语义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一个薄层 anchor 的机制诊断</w:t>
            </w:r>
          </w:p>
        </w:tc>
      </w:tr>
      <w:t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83">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84">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85">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86">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87">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88">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89">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v0.32 比 v0.31 更容易形成清楚的 agent-evaluation 贡献，但招募、功效和 utility validity 风险更高。</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0"/>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0"/>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0"/>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0"/>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0"/>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0"/>
        </w:numPr>
        <w:spacing w:after="80" w:line="290" w:lineRule="auto"/>
        <w:ind w:left="540" w:hanging="279"/>
      </w:pPr>
      <w:r>
        <w:rPr>
          <w:rFonts w:ascii="Calibri" w:hAnsi="Calibri" w:eastAsia="PingFang SC"/>
        </w:rPr>
        <w:t>只有 3 个 family 中至少 2 个通过 utility、task-shell 等价、报告质量配平和实施可行性门，才扩到 8–12 个；否则优先修改构念和实验设计。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1">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2">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3">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6">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7">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8">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9">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40">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1">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2">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3">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4">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5">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6">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7">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8">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9">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50">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1">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2">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9">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8">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80">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1">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3">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4">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5">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6">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7">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8">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9">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2">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60">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1">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3">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4">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9">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6">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7">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70">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1">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2">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3">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5">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6">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8">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5">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4">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5">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90">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82">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83">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84">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85">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86">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87">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88">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89">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25">
        <w:r>
          <w:rPr>
            <w:rFonts w:ascii="Calibri" w:hAnsi="Calibri" w:eastAsia="PingFang SC"/>
            <w:color w:val="2E74B5"/>
            <w:u w:val="single"/>
            <w:sz w:val="16"/>
            <w:szCs w:val="16"/>
          </w:rPr>
          <w:t>https://arxiv.org/abs/2601.17087</w:t>
        </w:r>
      </w:hyperlink>
    </w:p>
    <w:p>
      <w:r>
        <w:rPr>
          <w:rFonts w:ascii="Calibri" w:hAnsi="Calibri" w:eastAsia="PingFang SC"/>
          <w:b/>
        </w:rPr>
        <w:t>需要导师优先拍板的四个问题：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广度以换取真人统计功效；（4）伦理审查、招募和真实决策材料能否在时间窗内启动。</w:t>
      </w:r>
    </w:p>
    <w:sectPr w:rsidR="00FC693F" w:rsidRPr="0006063C" w:rsidSect="00034616">
      <w:headerReference w:type="default" r:id="rId29"/>
      <w:footerReference w:type="default" r:id="rId3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2026-8-9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2026-8-9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2026-8-9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yperlink" Target="https://arxiv.org/abs/2601.17087" TargetMode="External"/><Relationship Id="rId26" Type="http://schemas.openxmlformats.org/officeDocument/2006/relationships/header" Target="header2.xml"/><Relationship Id="rId27" Type="http://schemas.openxmlformats.org/officeDocument/2006/relationships/footer" Target="footer2.xml"/><Relationship Id="rId28" Type="http://schemas.openxmlformats.org/officeDocument/2006/relationships/image" Target="media/image1.png"/><Relationship Id="rId29" Type="http://schemas.openxmlformats.org/officeDocument/2006/relationships/header" Target="header3.xml"/><Relationship Id="rId30" Type="http://schemas.openxmlformats.org/officeDocument/2006/relationships/footer" Target="footer3.xml"/><Relationship Id="rId31" Type="http://schemas.openxmlformats.org/officeDocument/2006/relationships/hyperlink" Target="https://arxiv.org/abs/2605.19276" TargetMode="External"/><Relationship Id="rId32" Type="http://schemas.openxmlformats.org/officeDocument/2006/relationships/hyperlink" Target="https://evalscope.readthedocs.io/en/refact_readme/get_started/introduction.html" TargetMode="External"/><Relationship Id="rId33" Type="http://schemas.openxmlformats.org/officeDocument/2006/relationships/hyperlink" Target="https://arxiv.org/abs/2412.14470" TargetMode="External"/><Relationship Id="rId34" Type="http://schemas.openxmlformats.org/officeDocument/2006/relationships/hyperlink" Target="https://aclanthology.org/2026.acl-long.2079/" TargetMode="External"/><Relationship Id="rId35" Type="http://schemas.openxmlformats.org/officeDocument/2006/relationships/hyperlink" Target="https://arxiv.org/abs/2605.31545" TargetMode="External"/><Relationship Id="rId36" Type="http://schemas.openxmlformats.org/officeDocument/2006/relationships/hyperlink" Target="https://macaron.im/mindlab/research/macaron-v1-preview" TargetMode="External"/><Relationship Id="rId37" Type="http://schemas.openxmlformats.org/officeDocument/2006/relationships/hyperlink" Target="https://arxiv.org/abs/2506.11763" TargetMode="External"/><Relationship Id="rId38" Type="http://schemas.openxmlformats.org/officeDocument/2006/relationships/hyperlink" Target="https://arxiv.org/abs/2506.21506" TargetMode="External"/><Relationship Id="rId39" Type="http://schemas.openxmlformats.org/officeDocument/2006/relationships/hyperlink" Target="https://arxiv.org/abs/2508.06600" TargetMode="External"/><Relationship Id="rId40" Type="http://schemas.openxmlformats.org/officeDocument/2006/relationships/hyperlink" Target="https://openai.com/index/paperbench/" TargetMode="External"/><Relationship Id="rId41" Type="http://schemas.openxmlformats.org/officeDocument/2006/relationships/hyperlink" Target="https://livedeepresearch.github.io/" TargetMode="External"/><Relationship Id="rId42" Type="http://schemas.openxmlformats.org/officeDocument/2006/relationships/hyperlink" Target="https://arxiv.org/abs/2505.19253" TargetMode="External"/><Relationship Id="rId43" Type="http://schemas.openxmlformats.org/officeDocument/2006/relationships/hyperlink" Target="https://arxiv.org/abs/2510.00172" TargetMode="External"/><Relationship Id="rId44" Type="http://schemas.openxmlformats.org/officeDocument/2006/relationships/hyperlink" Target="https://livebench.ai/" TargetMode="External"/><Relationship Id="rId45" Type="http://schemas.openxmlformats.org/officeDocument/2006/relationships/hyperlink" Target="https://arxiv.org/abs/2310.17631" TargetMode="External"/><Relationship Id="rId46" Type="http://schemas.openxmlformats.org/officeDocument/2006/relationships/hyperlink" Target="https://arxiv.org/abs/2405.01535" TargetMode="External"/><Relationship Id="rId47" Type="http://schemas.openxmlformats.org/officeDocument/2006/relationships/hyperlink" Target="https://arxiv.org/abs/2403.02839" TargetMode="External"/><Relationship Id="rId48" Type="http://schemas.openxmlformats.org/officeDocument/2006/relationships/hyperlink" Target="https://arxiv.org/abs/2508.04183" TargetMode="External"/><Relationship Id="rId49" Type="http://schemas.openxmlformats.org/officeDocument/2006/relationships/hyperlink" Target="https://arxiv.org/abs/2511.07685" TargetMode="External"/><Relationship Id="rId50" Type="http://schemas.openxmlformats.org/officeDocument/2006/relationships/hyperlink" Target="https://arxiv.org/abs/2407.15711" TargetMode="External"/><Relationship Id="rId51" Type="http://schemas.openxmlformats.org/officeDocument/2006/relationships/hyperlink" Target="https://arxiv.org/abs/2402.17896" TargetMode="External"/><Relationship Id="rId52" Type="http://schemas.openxmlformats.org/officeDocument/2006/relationships/hyperlink" Target="https://arxiv.org/abs/2507.16280" TargetMode="External"/><Relationship Id="rId53" Type="http://schemas.openxmlformats.org/officeDocument/2006/relationships/hyperlink" Target="https://arxiv.org/abs/2607.27056" TargetMode="External"/><Relationship Id="rId54" Type="http://schemas.openxmlformats.org/officeDocument/2006/relationships/hyperlink" Target="https://arxiv.org/abs/2607.21635" TargetMode="External"/><Relationship Id="rId55" Type="http://schemas.openxmlformats.org/officeDocument/2006/relationships/hyperlink" Target="https://arxiv.org/abs/2607.20482" TargetMode="External"/><Relationship Id="rId56" Type="http://schemas.openxmlformats.org/officeDocument/2006/relationships/hyperlink" Target="https://arxiv.org/abs/2607.12254" TargetMode="External"/><Relationship Id="rId57" Type="http://schemas.openxmlformats.org/officeDocument/2006/relationships/hyperlink" Target="https://arxiv.org/abs/2607.10526" TargetMode="External"/><Relationship Id="rId58" Type="http://schemas.openxmlformats.org/officeDocument/2006/relationships/hyperlink" Target="https://arxiv.org/abs/2607.03162" TargetMode="External"/><Relationship Id="rId59" Type="http://schemas.openxmlformats.org/officeDocument/2006/relationships/hyperlink" Target="https://aclanthology.org/2024.acl-long.399/" TargetMode="External"/><Relationship Id="rId60" Type="http://schemas.openxmlformats.org/officeDocument/2006/relationships/hyperlink" Target="https://aclanthology.org/2025.findings-acl.927/" TargetMode="External"/><Relationship Id="rId61" Type="http://schemas.openxmlformats.org/officeDocument/2006/relationships/hyperlink" Target="https://arxiv.org/abs/2504.14225" TargetMode="External"/><Relationship Id="rId62" Type="http://schemas.openxmlformats.org/officeDocument/2006/relationships/hyperlink" Target="https://aclanthology.org/2024.emnlp-industry.37/" TargetMode="External"/><Relationship Id="rId63" Type="http://schemas.openxmlformats.org/officeDocument/2006/relationships/hyperlink" Target="https://aclanthology.org/2025.acl-long.1064/" TargetMode="External"/><Relationship Id="rId64" Type="http://schemas.openxmlformats.org/officeDocument/2006/relationships/hyperlink" Target="https://arxiv.org/abs/2505.13176" TargetMode="External"/><Relationship Id="rId65" Type="http://schemas.openxmlformats.org/officeDocument/2006/relationships/hyperlink" Target="https://aclanthology.org/2026.acl-long.370/" TargetMode="External"/><Relationship Id="rId66" Type="http://schemas.openxmlformats.org/officeDocument/2006/relationships/hyperlink" Target="https://aclanthology.org/2026.findings-acl.1676/" TargetMode="External"/><Relationship Id="rId67" Type="http://schemas.openxmlformats.org/officeDocument/2006/relationships/hyperlink" Target="https://aclanthology.org/2026.acl-long.1669/" TargetMode="External"/><Relationship Id="rId68" Type="http://schemas.openxmlformats.org/officeDocument/2006/relationships/hyperlink" Target="https://aclanthology.org/2026.acl-long.2033/" TargetMode="External"/><Relationship Id="rId69" Type="http://schemas.openxmlformats.org/officeDocument/2006/relationships/hyperlink" Target="https://aclanthology.org/2025.emnlp-main.1711/" TargetMode="External"/><Relationship Id="rId70" Type="http://schemas.openxmlformats.org/officeDocument/2006/relationships/hyperlink" Target="https://arxiv.org/abs/2601.16621" TargetMode="External"/><Relationship Id="rId71" Type="http://schemas.openxmlformats.org/officeDocument/2006/relationships/hyperlink" Target="https://arxiv.org/abs/2602.16173" TargetMode="External"/><Relationship Id="rId72" Type="http://schemas.openxmlformats.org/officeDocument/2006/relationships/hyperlink" Target="https://arxiv.org/abs/2605.25535" TargetMode="External"/><Relationship Id="rId73" Type="http://schemas.openxmlformats.org/officeDocument/2006/relationships/hyperlink" Target="https://aclanthology.org/2026.findings-acl.1337/" TargetMode="External"/><Relationship Id="rId74" Type="http://schemas.openxmlformats.org/officeDocument/2006/relationships/hyperlink" Target="https://aclanthology.org/2026.acl-long.1549/" TargetMode="External"/><Relationship Id="rId75" Type="http://schemas.openxmlformats.org/officeDocument/2006/relationships/hyperlink" Target="https://aclanthology.org/2026.acl-long.1260/" TargetMode="External"/><Relationship Id="rId76" Type="http://schemas.openxmlformats.org/officeDocument/2006/relationships/hyperlink" Target="https://arxiv.org/abs/2605.10530" TargetMode="External"/><Relationship Id="rId77" Type="http://schemas.openxmlformats.org/officeDocument/2006/relationships/hyperlink" Target="https://aclanthology.org/2026.findings-acl.31/" TargetMode="External"/><Relationship Id="rId78" Type="http://schemas.openxmlformats.org/officeDocument/2006/relationships/hyperlink" Target="https://aclanthology.org/2020.acl-main.442/" TargetMode="External"/><Relationship Id="rId79" Type="http://schemas.openxmlformats.org/officeDocument/2006/relationships/hyperlink" Target="https://arxiv.org/abs/2211.09110" TargetMode="External"/><Relationship Id="rId80" Type="http://schemas.openxmlformats.org/officeDocument/2006/relationships/hyperlink" Target="https://arxiv.org/abs/2411.12990" TargetMode="External"/><Relationship Id="rId81" Type="http://schemas.openxmlformats.org/officeDocument/2006/relationships/hyperlink" Target="https://papers.neurips.cc/paper_files/paper/2025/hash/76175f4355e2f67cf91be468c8860070-Abstract-Datasets_and_Benchmarks_Track.html" TargetMode="External"/><Relationship Id="rId82" Type="http://schemas.openxmlformats.org/officeDocument/2006/relationships/hyperlink" Target="https://arxiv.org/abs/2507.21071" TargetMode="External"/><Relationship Id="rId83" Type="http://schemas.openxmlformats.org/officeDocument/2006/relationships/hyperlink" Target="https://openreview.net/pdf/c2a76eb44300a738cbd7cb95f5bc04df621f4d25.pdf" TargetMode="External"/><Relationship Id="rId84" Type="http://schemas.openxmlformats.org/officeDocument/2006/relationships/hyperlink" Target="https://openreview.net/pdf?id=oKn9c6ytLx" TargetMode="External"/><Relationship Id="rId85" Type="http://schemas.openxmlformats.org/officeDocument/2006/relationships/hyperlink" Target="https://arxiv.org/abs/2510.21652" TargetMode="External"/><Relationship Id="rId86" Type="http://schemas.openxmlformats.org/officeDocument/2006/relationships/hyperlink" Target="https://arxiv.org/abs/2505.21936" TargetMode="External"/><Relationship Id="rId87" Type="http://schemas.openxmlformats.org/officeDocument/2006/relationships/hyperlink" Target="https://media.iclr.cc/Conferences/ICLR2024/ICLR2024-Fact_Sheet.pdf" TargetMode="External"/><Relationship Id="rId88" Type="http://schemas.openxmlformats.org/officeDocument/2006/relationships/hyperlink" Target="https://media.iclr.cc/Conferences/ICLR2026/ICLR2026_Fact_Sheet.pdf" TargetMode="External"/><Relationship Id="rId89" Type="http://schemas.openxmlformats.org/officeDocument/2006/relationships/hyperlink" Target="https://arxiv.org/abs/2510.18560" TargetMode="External"/><Relationship Id="rId90" Type="http://schemas.openxmlformats.org/officeDocument/2006/relationships/hyperlink" Target="https://openreview.net/pdf?id=zAdUB0aC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