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v0.23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固定任务与证据，只改变用户；用 matched/swapped 与三类契约识别个性化效应，再沿 S0–S3 比较不同 agent 模式在压力下的保持与更新。</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智能体已经能检索、综合并交付长报告，但“报告正确”不等于“报告适合这个用户”。相关研究正在沿一条清楚的能力链推进：LaMP 和 PersonaLens 先把用户历史与任务型对话纳入输出评价；</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又把个性化从文本生成推进到规划、工具选择和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则开始处理画像变化、无关记忆、主动澄清、个性化写入和过期事实。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因此，本项目不能把“用户理解、记忆或个性化行动无人评测”当作研究空白。</w:t>
      </w:r>
    </w:p>
    <w:p>
      <w:r>
        <w:rPr>
          <w:rFonts w:ascii="Calibri" w:hAnsi="Calibri" w:eastAsia="PingFang SC"/>
        </w:rPr>
        <w:t>真正把问题推到 Deep Research 最终交付物的直接前作已有三条：PDR-Bench 将真实 persona 与动态上下文配到开放式研究任务，并让 LLM 按 task/persona 动态生成个性化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则在个性化学术调研中发现，合成用户和 LLM judge 会漏掉真人指出的九类细微错误。</w:t>
      </w:r>
      <w:hyperlink r:id="rId27">
        <w:r>
          <w:rPr>
            <w:rFonts w:ascii="Calibri" w:hAnsi="Calibri" w:eastAsia="PingFang SC"/>
            <w:color w:val="2E74B5"/>
            <w:u w:val="single"/>
          </w:rPr>
          <w:t>[41]</w:t>
        </w:r>
      </w:hyperlink>
      <w:r>
        <w:rPr>
          <w:rFonts w:ascii="Calibri" w:hAnsi="Calibri" w:eastAsia="PingFang SC"/>
        </w:rPr>
        <w:t xml:space="preserve"> PDR-Bench 已经能够评价给定 task–persona 条件下一份报告的适配质量，即 </w:t>
      </w:r>
      <w:r>
        <w:rPr>
          <w:rFonts w:ascii="Calibri" w:hAnsi="Calibri" w:eastAsia="PingFang SC"/>
          <w:b/>
        </w:rPr>
        <w:t>absolute adaptation evaluation</w:t>
      </w:r>
      <w:r>
        <w:rPr>
          <w:rFonts w:ascii="Calibri" w:hAnsi="Calibri" w:eastAsia="PingFang SC"/>
        </w:rPr>
        <w:t xml:space="preserve">。DeepAlign-Bench 不否定这一构念贡献；但 PDR-Bench 自己报告的最佳 judge 与人类 pairwise agreement 仅为 0.43，且校准只覆盖 15 个 query 与两个 agent，说明“能够定义并自动评价适配”不等于“精细榜单已经得到充分验证”。DeepAlign 的核心创新仍是改变估计对象：在固定任务、证据、工具和预算后，把两个都合理的目标用户及其交付物放进同一 </w:t>
      </w:r>
      <w:r>
        <w:rPr>
          <w:rFonts w:ascii="Calibri" w:hAnsi="Calibri" w:eastAsia="PingFang SC"/>
          <w:b/>
        </w:rPr>
        <w:t>matched/swapped 交叉评分矩阵</w:t>
      </w:r>
      <w:r>
        <w:rPr>
          <w:rFonts w:ascii="Calibri" w:hAnsi="Calibri" w:eastAsia="PingFang SC"/>
        </w:rPr>
        <w:t xml:space="preserve">，从 absolute adaptation evaluation 转向 </w:t>
      </w:r>
      <w:r>
        <w:rPr>
          <w:rFonts w:ascii="Calibri" w:hAnsi="Calibri" w:eastAsia="PingFang SC"/>
          <w:b/>
        </w:rPr>
        <w:t>counterfactual personalization effect identification</w:t>
      </w:r>
      <w:r>
        <w:rPr>
          <w:rFonts w:ascii="Calibri" w:hAnsi="Calibri" w:eastAsia="PingFang SC"/>
        </w:rPr>
        <w:t>；独立 JudgeBench 则用于保证这个新 estimand 没有被不可靠的测量协议破坏。</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来源稳定利用任务相关用户状态，在执行干扰中保持并更新必要约束，从而交付对目标用户具有可验证特异价值的最终产物；只有受控轨迹实验完成后，才讨论获取、保持、利用或更新机制。</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persona、任务简报中的显式约束、澄清对话、长期对话历史、行为轨迹、私有工作区材料、交互反馈和动态状态更新，分别能带来多少有效增益与多少误用风险？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和开放源实现，在用户信息获取、保持、规划、交付物生成与状态更新方面是否呈现可重复的差异？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w:t>
      </w:r>
      <w:hyperlink r:id="rId33">
        <w:r>
          <w:rPr>
            <w:rFonts w:ascii="Calibri" w:hAnsi="Calibri" w:eastAsia="PingFang SC"/>
            <w:color w:val="2E74B5"/>
            <w:u w:val="single"/>
          </w:rPr>
          <w:t>[1]</w:t>
        </w:r>
      </w:hyperlink>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w:t>
      </w:r>
      <w:hyperlink r:id="rId34">
        <w:r>
          <w:rPr>
            <w:rFonts w:ascii="Calibri" w:hAnsi="Calibri" w:eastAsia="PingFang SC"/>
            <w:color w:val="2E74B5"/>
            <w:u w:val="single"/>
          </w:rPr>
          <w:t>[2]</w:t>
        </w:r>
      </w:hyperlink>
      <w:r>
        <w:rPr>
          <w:rFonts w:ascii="Calibri" w:hAnsi="Calibri" w:eastAsia="PingFang SC"/>
        </w:rPr>
        <w:t xml:space="preserve">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PDR-Bench（arXiv:2509.25106）：从绝对适配评价到反事实个性化效应识别</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Fit、Actionability；LLM 先依据 task 与 persona 分配维度权重并生成子标准，另一 LLM 再逐项评分；可靠性由事实准确率与引用覆盖率组成。</w:t>
      </w:r>
      <w:hyperlink r:id="rId25">
        <w:r>
          <w:rPr>
            <w:rFonts w:ascii="Calibri" w:hAnsi="Calibri" w:eastAsia="PingFang SC"/>
            <w:color w:val="2E74B5"/>
            <w:u w:val="single"/>
          </w:rPr>
          <w:t>[4]</w:t>
        </w:r>
      </w:hyperlink>
    </w:p>
    <w:p>
      <w:r>
        <w:rPr>
          <w:rFonts w:ascii="Calibri" w:hAnsi="Calibri" w:eastAsia="PingFang SC"/>
        </w:rPr>
        <w:t>论文的贡献应被正面承认：它首先把真实用户画像和深度调研结合；persona 不只是输入文本，还直接条件化 P-Score 的权重与子标准；包含 task-only、context 和 persona 条件；对若干 memory system 做实验；并用同一 user-query 下两种 agent 报告的 pairwise 人评比较 judge。因此，PDR-Bench 已经回答了一个成立且重要的问题：</w:t>
      </w:r>
      <w:r>
        <w:rPr>
          <w:rFonts w:ascii="Calibri" w:hAnsi="Calibri" w:eastAsia="PingFang SC"/>
          <w:b/>
        </w:rPr>
        <w:t>给定 task 与 persona，这份报告在目标、内容、呈现和可行动性上是否适配该用户？</w:t>
      </w:r>
      <w:r>
        <w:rPr>
          <w:rFonts w:ascii="Calibri" w:hAnsi="Calibri" w:eastAsia="PingFang SC"/>
        </w:rPr>
        <w:t xml:space="preserve"> DeepAlign-Bench 复用这一 absolute adaptation 构念，不以“rubric 更懂 persona”作为创新。</w:t>
      </w:r>
    </w:p>
    <w:p>
      <w:r>
        <w:rPr>
          <w:rFonts w:ascii="Calibri" w:hAnsi="Calibri" w:eastAsia="PingFang SC"/>
        </w:rPr>
        <w:t xml:space="preserve">两者的区别在于 </w:t>
      </w:r>
      <w:r>
        <w:rPr>
          <w:rFonts w:ascii="Calibri" w:hAnsi="Calibri" w:eastAsia="PingFang SC"/>
          <w:b/>
        </w:rPr>
        <w:t>estimand 与实验设计</w:t>
      </w:r>
      <w:r>
        <w:rPr>
          <w:rFonts w:ascii="Calibri" w:hAnsi="Calibri" w:eastAsia="PingFang SC"/>
        </w:rPr>
        <w:t>，而不在 rubric 是否懂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跨用户效应需要预冻结的差异契约。</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不能证明有效个性化：差异可能与用户需求无关；完全相同也不一定失败，因为部分事实本应保持。为此在看到模型输出前冻结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w:t>
      </w:r>
      <w:r>
        <w:rPr>
          <w:rFonts w:ascii="Courier New" w:hAnsi="Courier New" w:eastAsia="PingFang SC"/>
          <w:color w:val="6A3E00"/>
          <w:sz w:val="20"/>
        </w:rPr>
        <w:t>must-not</w:t>
      </w:r>
      <w:r>
        <w:rPr>
          <w:rFonts w:ascii="Calibri" w:hAnsi="Calibri" w:eastAsia="PingFang SC"/>
        </w:rPr>
        <w:t>：分别规定必须随用户变化的决策、必须保持的共同事实与质量、以及不得由 persona 推断或泄露的内容。这不是对 PDR rubric 的修补，而是 counterfactual identification 所需的跨条件 oracle。</w:t>
      </w:r>
    </w:p>
    <w:p>
      <w:r>
        <w:rPr>
          <w:rFonts w:ascii="Calibri" w:hAnsi="Calibri" w:eastAsia="PingFang SC"/>
        </w:rPr>
        <w:t xml:space="preserve">与此同时，PDR-Bench 的 </w:t>
      </w:r>
      <w:r>
        <w:rPr>
          <w:rFonts w:ascii="Calibri" w:hAnsi="Calibri" w:eastAsia="PingFang SC"/>
          <w:b/>
        </w:rPr>
        <w:t>judge 与评分协议仍有可明确指出的可靠性边界</w:t>
      </w:r>
      <w:r>
        <w:rPr>
          <w:rFonts w:ascii="Calibri" w:hAnsi="Calibri" w:eastAsia="PingFang SC"/>
        </w:rPr>
        <w:t>；承认 absolute adaptation 的构念贡献，不等于接受其自动分数已经足以支撑精细排名：</w:t>
      </w:r>
    </w:p>
    <w:p>
      <w:pPr>
        <w:numPr>
          <w:ilvl w:val="0"/>
          <w:numId w:val="12"/>
        </w:numPr>
        <w:spacing w:after="80" w:line="290" w:lineRule="auto"/>
        <w:ind w:left="540" w:hanging="279"/>
      </w:pPr>
      <w:r>
        <w:rPr>
          <w:rFonts w:ascii="Calibri" w:hAnsi="Calibri" w:eastAsia="PingFang SC"/>
          <w:b/>
        </w:rPr>
        <w:t>人类一致性结果偏低且校准样本窄。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这能完成 judge 选型，却不足以证明其在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两层动态生成带来测量方差。</w:t>
      </w:r>
      <w:r>
        <w:rPr>
          <w:rFonts w:ascii="Calibri" w:hAnsi="Calibri" w:eastAsia="PingFang SC"/>
        </w:rPr>
        <w:t xml:space="preserve"> meta-evaluator 先生成维度权重和子标准，scorer 再给 0–10 分；若不重复生成、冻结 criterion version 并报告 criterion stability，同一 user-task 可能因 rubric realization 不同而改变分数。这里的问题不是 rubric 不懂 persona，而是量尺本身是否可重复。</w:t>
      </w:r>
    </w:p>
    <w:p>
      <w:pPr>
        <w:numPr>
          <w:ilvl w:val="0"/>
          <w:numId w:val="12"/>
        </w:numPr>
        <w:spacing w:after="80" w:line="290" w:lineRule="auto"/>
        <w:ind w:left="540" w:hanging="279"/>
      </w:pPr>
      <w:r>
        <w:rPr>
          <w:rFonts w:ascii="Calibri" w:hAnsi="Calibri" w:eastAsia="PingFang SC"/>
          <w:b/>
        </w:rPr>
        <w:t>人类效度不是 target-user validity。</w:t>
      </w:r>
      <w:r>
        <w:rPr>
          <w:rFonts w:ascii="Calibri" w:hAnsi="Calibri" w:eastAsia="PingFang SC"/>
        </w:rPr>
        <w:t xml:space="preserve"> 论文用 human evaluator panel 按同一标准评分，但未把原 persona 所有者的 matched/swapped 选择作为主校准终点。通用标注者可以判断“看起来适合该 persona”，却不能完全替代“这个用户是否愿意采用”。MyScholarQA 的真人研究已经显示合成用户与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事实可靠性是一条复合自动链。</w:t>
      </w:r>
      <w:r>
        <w:rPr>
          <w:rFonts w:ascii="Calibri" w:hAnsi="Calibri" w:eastAsia="PingFang SC"/>
        </w:rPr>
        <w:t xml:space="preserve"> claim 抽取、去重、Jina 抓取和 LLM 支持判断任一步漏检都会影响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因此需要分别审计 claim recall、抓取失败、证据蕴含和 source quality，而不能只把最终 R 分当作无噪声真值。</w:t>
      </w:r>
    </w:p>
    <w:p>
      <w:pPr>
        <w:numPr>
          <w:ilvl w:val="0"/>
          <w:numId w:val="12"/>
        </w:numPr>
        <w:spacing w:after="80" w:line="290" w:lineRule="auto"/>
        <w:ind w:left="540" w:hanging="279"/>
      </w:pPr>
      <w:r>
        <w:rPr>
          <w:rFonts w:ascii="Calibri" w:hAnsi="Calibri" w:eastAsia="PingFang SC"/>
          <w:b/>
        </w:rPr>
        <w:t>补偿式聚合可能掩盖关键失败。</w:t>
      </w:r>
      <w:r>
        <w:rPr>
          <w:rFonts w:ascii="Calibri" w:hAnsi="Calibri" w:eastAsia="PingFang SC"/>
        </w:rPr>
        <w:t xml:space="preserve"> P/Q/R 最终做算术平均，允许较高的个性化或写作质量补偿事实可靠性不足；对高风险、隐私或关键约束失败，更合理的是 hard gate 与 violation cap。这属于 scoring protocol 的边界，不是否定 P-Score 对 absolute adaptation 的表达能力。</w:t>
      </w:r>
    </w:p>
    <w:p>
      <w:pPr>
        <w:numPr>
          <w:ilvl w:val="0"/>
          <w:numId w:val="12"/>
        </w:numPr>
        <w:spacing w:after="80" w:line="290" w:lineRule="auto"/>
        <w:ind w:left="540" w:hanging="279"/>
      </w:pPr>
      <w:r>
        <w:rPr>
          <w:rFonts w:ascii="Calibri" w:hAnsi="Calibri" w:eastAsia="PingFang SC"/>
          <w:b/>
        </w:rPr>
        <w:t>尚未做针对性 robustness audit。</w:t>
      </w:r>
      <w:r>
        <w:rPr>
          <w:rFonts w:ascii="Calibri" w:hAnsi="Calibri" w:eastAsia="PingFang SC"/>
        </w:rPr>
        <w:t xml:space="preserve"> 论文没有报告 wrong-user swap、位置交换、matched-length、persona 关键词堆叠、敏感信息误用与跨 judge-family 等对抗切片。这里应表述为“稳健性尚未被验证”，而不是断言 PDR judge 已被这些因素欺骗。</w:t>
      </w:r>
    </w:p>
    <w:p>
      <w:r>
        <w:rPr>
          <w:rFonts w:ascii="Calibri" w:hAnsi="Calibri" w:eastAsia="PingFang SC"/>
        </w:rPr>
        <w:t>因此，DeepAlign 对 PDR-Bench 的评价应保持两句话同时成立：</w:t>
      </w:r>
      <w:r>
        <w:rPr>
          <w:rFonts w:ascii="Calibri" w:hAnsi="Calibri" w:eastAsia="PingFang SC"/>
          <w:b/>
        </w:rPr>
        <w:t>PDR-Bench 已经提出了有效的 task/persona-conditioned absolute adaptation 构念；其 judge 校准与评分链条仍不足以直接承担 DeepAlign 所需的跨用户、跨交付物、带硬约束的 effect identification。</w:t>
      </w:r>
      <w:r>
        <w:rPr>
          <w:rFonts w:ascii="Calibri" w:hAnsi="Calibri" w:eastAsia="PingFang SC"/>
        </w:rPr>
        <w:t xml:space="preserve"> JudgeBench 是必要的测量基础设施，但不是 estimand 创新的替代品。</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按预期触发，且 </w:t>
      </w:r>
      <w:r>
        <w:rPr>
          <w:rFonts w:ascii="Courier New" w:hAnsi="Courier New" w:eastAsia="PingFang SC"/>
          <w:color w:val="6A3E00"/>
          <w:sz w:val="20"/>
        </w:rPr>
        <w:t>must-hold</w:t>
      </w:r>
      <w:r>
        <w:rPr>
          <w:rFonts w:ascii="Calibri" w:hAnsi="Calibri" w:eastAsia="PingFang SC"/>
        </w:rPr>
        <w:t>、事实性与共同质量不下降、</w:t>
      </w:r>
      <w:r>
        <w:rPr>
          <w:rFonts w:ascii="Courier New" w:hAnsi="Courier New" w:eastAsia="PingFang SC"/>
          <w:color w:val="6A3E00"/>
          <w:sz w:val="20"/>
        </w:rPr>
        <w:t>must-not</w:t>
      </w:r>
      <w:r>
        <w:rPr>
          <w:rFonts w:ascii="Calibri" w:hAnsi="Calibri" w:eastAsia="PingFang SC"/>
        </w:rPr>
        <w:t xml:space="preserve"> 不被违反，才支持存在</w:t>
      </w:r>
      <w:r>
        <w:rPr>
          <w:rFonts w:ascii="Calibri" w:hAnsi="Calibri" w:eastAsia="PingFang SC"/>
          <w:b/>
        </w:rPr>
        <w:t>可观察的反事实个性化效应</w:t>
      </w:r>
      <w:r>
        <w:rPr>
          <w:rFonts w:ascii="Calibri" w:hAnsi="Calibri" w:eastAsia="PingFang SC"/>
        </w:rPr>
        <w:t>。这里的 matched/swapped 识别的是目标用户条件对结果适配的效应，不能证明模型内部形成了真正的用户理解；一个稳定的“关键词→模板”策略仍可能过关。</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检验进一步限定这一效应的外部效度。对同一潜在 user-state，分别用结构化 persona、语义等价自然历史、澄清对话和去除显眼关键词的改写表达，要求 must-change 决策与 CFA 基本保持；只改变任务无关人口属性或表面措辞时，must-hold 应保持。ACL 2026 的 </w:t>
      </w:r>
      <w:r>
        <w:rPr>
          <w:rFonts w:ascii="Calibri" w:hAnsi="Calibri" w:eastAsia="PingFang SC"/>
          <w:i/>
        </w:rPr>
        <w:t>One Persona, Many Cues</w:t>
      </w:r>
      <w:r>
        <w:rPr>
          <w:rFonts w:ascii="Calibri" w:hAnsi="Calibri" w:eastAsia="PingFang SC"/>
        </w:rPr>
        <w:t xml:space="preserve"> 已显示，同一 persona 的不同提示线索会显著改变结论；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与 discriminativeness 列为个性化评价的三个必要原则。</w:t>
      </w:r>
      <w:hyperlink r:id="rId37">
        <w:r>
          <w:rPr>
            <w:rFonts w:ascii="Calibri" w:hAnsi="Calibri" w:eastAsia="PingFang SC"/>
            <w:color w:val="2E74B5"/>
            <w:u w:val="single"/>
          </w:rPr>
          <w:t>[54]</w:t>
        </w:r>
      </w:hyperlink>
      <w:r>
        <w:rPr>
          <w:rFonts w:ascii="Calibri" w:hAnsi="Calibri" w:eastAsia="PingFang SC"/>
        </w:rPr>
        <w:t xml:space="preserve"> 这些测试用于判断 DeepAlign 测得的效应能否跨信号表达保持；长度、位置、格式、wrong-user swap、关键词诱饵和敏感信息误用进入 JudgeBench，既审计本项目自身，也补足 PDR-Bench 尚未报告的 robustness 证据。它们是 judge 可靠性增量，不取代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已进入最后一段，并用 task/persona-conditioned rubric 建立了 absolute adaptation evaluation。</w:t>
      </w:r>
      <w:hyperlink r:id="rId25">
        <w:r>
          <w:rPr>
            <w:rFonts w:ascii="Calibri" w:hAnsi="Calibri" w:eastAsia="PingFang SC"/>
            <w:color w:val="2E74B5"/>
            <w:u w:val="single"/>
          </w:rPr>
          <w:t>[4]</w:t>
        </w:r>
      </w:hyperlink>
      <w:r>
        <w:rPr>
          <w:rFonts w:ascii="Calibri" w:hAnsi="Calibri" w:eastAsia="PingFang SC"/>
        </w:rPr>
        <w:t xml:space="preserve"> DeepAlign-Bench 的可辩护主张不是取代该评价，而是改变估计对象：在固定任务与证据后，以跨用户交叉评分和预冻结差异契约识别 counterfactual personalization effect。因此本项目也不应声称首先研究 personalization、history、persistent state 或 temporal intervention；可辩护的主张是：</w:t>
      </w:r>
    </w:p>
    <w:p>
      <w:r>
        <w:rPr>
          <w:rFonts w:ascii="Calibri" w:hAnsi="Calibri" w:eastAsia="PingFang SC"/>
        </w:rPr>
        <w:t>&gt; 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的维度数量成立。论文必须至少证明四件事：（1）matched/swapped 人评能稳定识别用户特异效用；（2）同一潜在 user-state 换一种语义等价表达时结论稳定，而只改任务无关线索时 must-hold 不变；（3）该效应不能由共同任务质量、事实性或评委偏差解释；（4）至少一种信号来源或长程扰动产生可重复、统计上可分辨的效应。若任一条件失败，主张应收缩为一个 outcome-centered evaluation study，而不是宣称识别了模型内部“理解用户”的机制。</w:t>
      </w:r>
    </w:p>
    <w:p>
      <w:pPr>
        <w:pStyle w:val="Heading2"/>
      </w:pPr>
      <w:r>
        <w:t>2.8 扩展检索：22 篇工作把 gap 进一步压缩到“反事实特异性 + 跨 cue 稳健性”</w:t>
      </w:r>
    </w:p>
    <w:p>
      <w:r>
        <w:rPr>
          <w:rFonts w:ascii="Calibri" w:hAnsi="Calibri" w:eastAsia="PingFang SC"/>
        </w:rPr>
        <w:t xml:space="preserve">本轮以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为检索入口，额外核对 22 篇论文的 title、abstract 与官方页面，其中 20 篇覆盖 agent 能力链，另两篇直接校准 persona cue 与个性化 rubric 的测量边界。纳入主叙事的门槛不是标题出现 persona 或 memory，而是至少满足两项：用户条件是可观察输入；该条件会改变 agent 的生成、规划或行动；论文提供可比较的个性化结果。筛选后形成四条相互衔接、但评价终点不同的证据链。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因此，论文的叙事终点不是“我们比现有工作更全面”，而是一个更窄、可证伪的问题：</w:t>
      </w:r>
      <w:r>
        <w:rPr>
          <w:rFonts w:ascii="Calibri" w:hAnsi="Calibri" w:eastAsia="PingFang SC"/>
          <w:b/>
        </w:rPr>
        <w:t>在广义 Deep Research 中，如何从 task/persona-conditioned absolute adaptation evaluation 进一步走向 counterfactual personalization effect identification？</w:t>
      </w:r>
      <w:r>
        <w:rPr>
          <w:rFonts w:ascii="Calibri" w:hAnsi="Calibri" w:eastAsia="PingFang SC"/>
        </w:rPr>
        <w:t xml:space="preserve"> 22 篇扩展工作分别提供信号来源、行动终点、时间状态、安全失败、cue 稳健性和 rubric 区分力的设计证据；DeepAlign-Bench 只有在跨用户对角优势与预冻结 </w:t>
      </w:r>
      <w:r>
        <w:rPr>
          <w:rFonts w:ascii="Courier New" w:hAnsi="Courier New" w:eastAsia="PingFang SC"/>
          <w:color w:val="6A3E00"/>
          <w:sz w:val="20"/>
        </w:rPr>
        <w:t>must-change</w:t>
      </w:r>
      <w:r>
        <w:rPr>
          <w:rFonts w:ascii="Calibri" w:hAnsi="Calibri" w:eastAsia="PingFang SC"/>
        </w:rPr>
        <w:t xml:space="preserve"> / </w:t>
      </w:r>
      <w:r>
        <w:rPr>
          <w:rFonts w:ascii="Courier New" w:hAnsi="Courier New" w:eastAsia="PingFang SC"/>
          <w:color w:val="6A3E00"/>
          <w:sz w:val="20"/>
        </w:rPr>
        <w:t>must-hold</w:t>
      </w:r>
      <w:r>
        <w:rPr>
          <w:rFonts w:ascii="Calibri" w:hAnsi="Calibri" w:eastAsia="PingFang SC"/>
        </w:rPr>
        <w:t xml:space="preserve"> / </w:t>
      </w:r>
      <w:r>
        <w:rPr>
          <w:rFonts w:ascii="Courier New" w:hAnsi="Courier New" w:eastAsia="PingFang SC"/>
          <w:color w:val="6A3E00"/>
          <w:sz w:val="20"/>
        </w:rPr>
        <w:t>must-not</w:t>
      </w:r>
      <w:r>
        <w:rPr>
          <w:rFonts w:ascii="Calibri" w:hAnsi="Calibri" w:eastAsia="PingFang SC"/>
        </w:rPr>
        <w:t xml:space="preserve"> 契约共同成立时，才构成核心方法贡献。跨线索稳健性、真人校准、纵向算子和多交付物覆盖是这一识别主张的有效性与外部效度支持。</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3"/>
        </w:numPr>
        <w:spacing w:after="80" w:line="290" w:lineRule="auto"/>
        <w:ind w:left="540" w:hanging="279"/>
      </w:pPr>
      <w:r>
        <w:rPr>
          <w:rFonts w:ascii="Calibri" w:hAnsi="Calibri" w:eastAsia="PingFang SC"/>
        </w:rPr>
        <w:t>需要多步信息获取、验证、综合或实验；</w:t>
      </w:r>
    </w:p>
    <w:p>
      <w:pPr>
        <w:numPr>
          <w:ilvl w:val="0"/>
          <w:numId w:val="13"/>
        </w:numPr>
        <w:spacing w:after="80" w:line="290" w:lineRule="auto"/>
        <w:ind w:left="540" w:hanging="279"/>
      </w:pPr>
      <w:r>
        <w:rPr>
          <w:rFonts w:ascii="Calibri" w:hAnsi="Calibri" w:eastAsia="PingFang SC"/>
        </w:rPr>
        <w:t>存在不止一种合理过程路径；</w:t>
      </w:r>
    </w:p>
    <w:p>
      <w:pPr>
        <w:numPr>
          <w:ilvl w:val="0"/>
          <w:numId w:val="13"/>
        </w:numPr>
        <w:spacing w:after="80" w:line="290" w:lineRule="auto"/>
        <w:ind w:left="540" w:hanging="279"/>
      </w:pPr>
      <w:r>
        <w:rPr>
          <w:rFonts w:ascii="Calibri" w:hAnsi="Calibri" w:eastAsia="PingFang SC"/>
        </w:rPr>
        <w:t>最终产物供真实用户决策、行动、理解或后续生产使用；</w:t>
      </w:r>
    </w:p>
    <w:p>
      <w:pPr>
        <w:numPr>
          <w:ilvl w:val="0"/>
          <w:numId w:val="13"/>
        </w:numPr>
        <w:spacing w:after="80" w:line="290" w:lineRule="auto"/>
        <w:ind w:left="540" w:hanging="279"/>
      </w:pPr>
      <w:r>
        <w:rPr>
          <w:rFonts w:ascii="Calibri" w:hAnsi="Calibri" w:eastAsia="PingFang SC"/>
        </w:rPr>
        <w:t>用户特征会改变至少一项合格交付标准；</w:t>
      </w:r>
    </w:p>
    <w:p>
      <w:pPr>
        <w:numPr>
          <w:ilvl w:val="0"/>
          <w:numId w:val="13"/>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w:t>
      </w:r>
      <w:hyperlink r:id="rId66">
        <w:r>
          <w:rPr>
            <w:rFonts w:ascii="Calibri" w:hAnsi="Calibri" w:eastAsia="PingFang SC"/>
            <w:color w:val="2E74B5"/>
            <w:u w:val="single"/>
          </w:rPr>
          <w:t>[23]</w:t>
        </w:r>
      </w:hyperlink>
    </w:p>
    <w:p>
      <w:pPr>
        <w:numPr>
          <w:ilvl w:val="0"/>
          <w:numId w:val="14"/>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4"/>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4"/>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4"/>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w:t>
      </w:r>
      <w:hyperlink r:id="rId67">
        <w:r>
          <w:rPr>
            <w:rFonts w:ascii="Calibri" w:hAnsi="Calibri" w:eastAsia="PingFang SC"/>
            <w:color w:val="2E74B5"/>
            <w:u w:val="single"/>
          </w:rPr>
          <w:t>[22]</w:t>
        </w:r>
      </w:hyperlink>
      <w:r>
        <w:rPr>
          <w:rFonts w:ascii="Calibri" w:hAnsi="Calibri" w:eastAsia="PingFang SC"/>
        </w:rPr>
        <w:t xml:space="preserve">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5"/>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5"/>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5"/>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5"/>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5"/>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5"/>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4.1.2 Task family 如何从真实问题构造出来</w:t>
      </w:r>
    </w:p>
    <w:p>
      <w:r>
        <w:rPr>
          <w:rFonts w:ascii="Calibri" w:hAnsi="Calibri" w:eastAsia="PingFang SC"/>
        </w:rPr>
        <w:t xml:space="preserve">这里的 </w:t>
      </w:r>
      <w:r>
        <w:rPr>
          <w:rFonts w:ascii="Calibri" w:hAnsi="Calibri" w:eastAsia="PingFang SC"/>
          <w:b/>
        </w:rPr>
        <w:t>task family 不是一个主题类别，也不是把同一道题换几个名字</w:t>
      </w:r>
      <w:r>
        <w:rPr>
          <w:rFonts w:ascii="Calibri" w:hAnsi="Calibri" w:eastAsia="PingFang SC"/>
        </w:rPr>
        <w:t>。它是一个可以生成多组受控实验条件的研究蓝图：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6"/>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6"/>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6"/>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6"/>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6"/>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6"/>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6"/>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6"/>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以“是否为团队采用医疗 AI 辅助编码工具”为例，固定任务核心是比较候选、证据质量、实施成本和风险；医院管理者与临床 AI 研究员都可能提出该任务，但前者的 must-change 指向 ROI、工作流、合规和试点门槛，后者指向数据漂移、验证设计、模型限制和复现材料；准确的法规事实、候选功能和证据出处属于 must-hold；不能从职业推断具体疾病、预算或政治偏好属于 must-not。由此产生的是一个 task family，而不是两道不再可比的题。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 xml:space="preserve">每维取 </w:t>
      </w:r>
      <w:r>
        <w:rPr>
          <w:rFonts w:ascii="Courier New" w:hAnsi="Courier New" w:eastAsia="PingFang SC"/>
          <w:color w:val="6A3E00"/>
          <w:sz w:val="20"/>
        </w:rPr>
        <w:t>0=clean、1=轻度、2=强单因素、3=复合压力</w:t>
      </w:r>
      <w:r>
        <w:rPr>
          <w:rFonts w:ascii="Calibri" w:hAnsi="Calibri" w:eastAsia="PingFang SC"/>
        </w:rPr>
        <w:t>。主论文不把六维求和后称为“难度分”，因为风险后果与认知复杂度不可互换；而是在同一 anchor 内构造以下阶梯并报告 dose-response：</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ourier New" w:hAnsi="Courier New" w:eastAsia="PingFang SC"/>
          <w:color w:val="6A3E00"/>
          <w:sz w:val="20"/>
        </w:rPr>
        <w:t>risk category</w:t>
      </w:r>
      <w:r>
        <w:rPr>
          <w:rFonts w:ascii="Calibri" w:hAnsi="Calibri" w:eastAsia="PingFang SC"/>
        </w:rPr>
        <w:t xml:space="preserve"> 规定失败后伤害什么，</w:t>
      </w:r>
      <w:r>
        <w:rPr>
          <w:rFonts w:ascii="Courier New" w:hAnsi="Courier New" w:eastAsia="PingFang SC"/>
          <w:color w:val="6A3E00"/>
          <w:sz w:val="20"/>
        </w:rPr>
        <w:t>expected failure mode</w:t>
      </w:r>
      <w:r>
        <w:rPr>
          <w:rFonts w:ascii="Calibri" w:hAnsi="Calibri" w:eastAsia="PingFang SC"/>
        </w:rPr>
        <w:t xml:space="preserve"> 规定压力条件想暴露什么，</w:t>
      </w:r>
      <w:r>
        <w:rPr>
          <w:rFonts w:ascii="Courier New" w:hAnsi="Courier New" w:eastAsia="PingFang SC"/>
          <w:color w:val="6A3E00"/>
          <w:sz w:val="20"/>
        </w:rPr>
        <w:t>stress vector</w:t>
      </w:r>
      <w:r>
        <w:rPr>
          <w:rFonts w:ascii="Calibri" w:hAnsi="Calibri" w:eastAsia="PingFang SC"/>
        </w:rPr>
        <w:t xml:space="preserve"> 规定测试强度。三者分开后，结果才能回答“某模型在高 stakes 下失败更多”“某 memory agent 对 stale conflict 更稳”“某 multi-agent 在第二次 handoff 后断崖下降”，而不是只得到一个不可解释的 overall score。</w:t>
      </w:r>
    </w:p>
    <w:p>
      <w:pPr>
        <w:pStyle w:val="Heading2"/>
      </w:pPr>
      <w:r>
        <w:t>4.2 个性化结果风险：最终交付物错在何处</w:t>
      </w:r>
    </w:p>
    <w:p>
      <w:pPr>
        <w:numPr>
          <w:ilvl w:val="0"/>
          <w:numId w:val="17"/>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7"/>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7"/>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7"/>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7"/>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7"/>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7"/>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7"/>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8"/>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8"/>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8"/>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8"/>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8"/>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8"/>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8"/>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8"/>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8"/>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p>
      <w:r>
        <w:rPr>
          <w:rFonts w:ascii="Calibri" w:hAnsi="Calibri" w:eastAsia="PingFang SC"/>
          <w:b/>
        </w:rPr>
        <w:t>Anchor 的准入比普通 family 更严格。</w:t>
      </w:r>
      <w:r>
        <w:rPr>
          <w:rFonts w:ascii="Calibri" w:hAnsi="Calibri" w:eastAsia="PingFang SC"/>
        </w:rPr>
        <w:t xml:space="preserve"> 它必须同时满足：（a）clean matched/swapped 的目标用户一致性高；（b）证据快照可复现；（c）至少三类 agent 能完成同一交付接口；（d）至少三种 stress operator 自然适用；（e）共同质量可由确定性或证据 verifier 覆盖；（f）失败不会要求 benchmark 执行真实医疗、法律或金融交易。首版拟固定以下 8 个功能性 anchor；具体题目可替换，但覆盖角色不可随结果调整：</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都生成一个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注入压力事件，而不是把攻击文字随意拼到 prompt：例如 stale conflict 必须同时包含带时间戳的新旧 ledger fact；handoff 必须在相同步骤冻结前缀，然后分别传完整、删除关键约束和加入冲突的三种 handoff packet；dynamic update 必须在预注册 step 改变一个 task-relevant state，并保留未改变字段。每次只根据差分回答一个问题。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为控制两个月预算，不构造完整笛卡尔积。8 个 anchor 全部运行 clean baseline、persona swap 与 irrelevant-signal 控制；其余扰动采用</w:t>
      </w:r>
      <w:r>
        <w:rPr>
          <w:rFonts w:ascii="Calibri" w:hAnsi="Calibri" w:eastAsia="PingFang SC"/>
          <w:b/>
        </w:rPr>
        <w:t>平衡不完全区组</w:t>
      </w:r>
      <w:r>
        <w:rPr>
          <w:rFonts w:ascii="Calibri" w:hAnsi="Calibri" w:eastAsia="PingFang SC"/>
        </w:rPr>
        <w:t xml:space="preserve">：每个 failure mode 至少分配到 2 个不同 task/交付物 anchor，每个 anchor 承担 3–4 个最自然的 mode，每个强扰动都有同 anchor、同前缀、同预算的 clean/light control。Anchor 只承担能力压力测试，不在失败后追加提醒、纠偏或 verifier 干预，也不估计修复收益。每次扰动保存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r>
        <w:rPr>
          <w:rFonts w:ascii="Calibri" w:hAnsi="Calibri" w:eastAsia="PingFang SC"/>
        </w:rPr>
        <w:t xml:space="preserve">这三条是 </w:t>
      </w:r>
      <w:r>
        <w:rPr>
          <w:rFonts w:ascii="Calibri" w:hAnsi="Calibri" w:eastAsia="PingFang SC"/>
          <w:b/>
        </w:rPr>
        <w:t>agent 的运行环境（execution regime）</w:t>
      </w:r>
      <w:r>
        <w:rPr>
          <w:rFonts w:ascii="Calibri" w:hAnsi="Calibri" w:eastAsia="PingFang SC"/>
        </w:rPr>
        <w:t>，不是 agent 类型。商业产品、统一 harness、开源 DRA、code agent 或 multi-agent 是系统模式；同一个系统只有在满足 adapter 要求时才能进入相应轨道。两套分类不能混写。</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三条轨道共享最小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 xml:space="preserve">。系统可声明 </w:t>
      </w:r>
      <w:r>
        <w:rPr>
          <w:rFonts w:ascii="Courier New" w:hAnsi="Courier New" w:eastAsia="PingFang SC"/>
          <w:color w:val="6A3E00"/>
          <w:sz w:val="20"/>
        </w:rPr>
        <w:t>trace_level ∈ {artifact_only, tool_events, message_events, full_state}</w:t>
      </w:r>
      <w:r>
        <w:rPr>
          <w:rFonts w:ascii="Calibri" w:hAnsi="Calibri" w:eastAsia="PingFang SC"/>
        </w:rPr>
        <w:t>；只有后两级且完成受控分叉时，论文才允许讨论过程 failure mode。</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b/>
        </w:rPr>
        <w:t>具体构造流程不是“先写一个完整人物，再找题匹配”，而是从任务后果反向构造最小用户状态：</w:t>
      </w:r>
    </w:p>
    <w:p>
      <w:pPr>
        <w:numPr>
          <w:ilvl w:val="0"/>
          <w:numId w:val="19"/>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19"/>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19"/>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19"/>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19"/>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19"/>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19"/>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19"/>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最终公开的不是未经控制的 biography，而是三个相互关联的对象：</w:t>
      </w:r>
      <w:r>
        <w:rPr>
          <w:rFonts w:ascii="Courier New" w:hAnsi="Courier New" w:eastAsia="PingFang SC"/>
          <w:color w:val="6A3E00"/>
          <w:sz w:val="20"/>
        </w:rPr>
        <w:t>private provenance record</w:t>
      </w:r>
      <w:r>
        <w:rPr>
          <w:rFonts w:ascii="Calibri" w:hAnsi="Calibri" w:eastAsia="PingFang SC"/>
        </w:rPr>
        <w:t>（不发布或去标识）、</w:t>
      </w:r>
      <w:r>
        <w:rPr>
          <w:rFonts w:ascii="Courier New" w:hAnsi="Courier New" w:eastAsia="PingFang SC"/>
          <w:color w:val="6A3E00"/>
          <w:sz w:val="20"/>
        </w:rPr>
        <w:t>versioned user-state ledger</w:t>
      </w:r>
      <w:r>
        <w:rPr>
          <w:rFonts w:ascii="Calibri" w:hAnsi="Calibri" w:eastAsia="PingFang SC"/>
        </w:rPr>
        <w:t xml:space="preserve">（ground truth）和 </w:t>
      </w:r>
      <w:r>
        <w:rPr>
          <w:rFonts w:ascii="Courier New" w:hAnsi="Courier New" w:eastAsia="PingFang SC"/>
          <w:color w:val="6A3E00"/>
          <w:sz w:val="20"/>
        </w:rPr>
        <w:t>channel-specific signal view</w:t>
      </w:r>
      <w:r>
        <w:rPr>
          <w:rFonts w:ascii="Calibri" w:hAnsi="Calibri" w:eastAsia="PingFang SC"/>
        </w:rPr>
        <w:t>（agent 实际看到的输入）。这样既保留真实性，又能知道哪个用户事实为何应该影响哪条 rubric。</w:t>
      </w:r>
    </w:p>
    <w:p>
      <w:r>
        <w:rPr>
          <w:rFonts w:ascii="Calibri" w:hAnsi="Calibri" w:eastAsia="PingFang SC"/>
        </w:rPr>
        <w:t>人类真值分成两个不可互换的角色。领域专家或训练过的标注者负责共同事实、证据充分性、must-hold 和客观任务完成；目标用户本人负责确认 must-change / must-not、可接受替代集合，并对 matched/swapped 交付物做盲式成对判断。真实用户 gold family 必须保留目标用户判断；user-anchored family 可由同一需求来源用户或通过资格筛选的匹配用户验证；纯合成 persona 只能进入机制压力测试和 judge 对抗集，不能单独支撑“真实用户效用”结论。该分工直接回应 MyScholarQA 发现的 synthetic-user /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0"/>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0"/>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0"/>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0"/>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0"/>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0"/>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21"/>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1"/>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1"/>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1"/>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 只说明用户—交付物评分矩阵呈现对角优势，即“两个用户各自更适合自己的版本”；它不解释模型为何做到，也不自动排除长度等 nuisance。另报告：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对同一潜在 user-state 的语义等价 signal views，不把稳定性压成一个可被平均掩盖的总分，而同时报告：</w:t>
      </w:r>
    </w:p>
    <w:p>
      <w:pPr>
        <w:pStyle w:val="ListBullet"/>
      </w:pPr>
      <w:r>
        <w:rPr>
          <w:rFonts w:ascii="Calibri" w:hAnsi="Calibri" w:eastAsia="PingFang SC"/>
          <w:b/>
        </w:rPr>
        <w:t>Worst-view CFA</w:t>
      </w:r>
      <w:r>
        <w:rPr>
          <w:rFonts w:ascii="Calibri" w:hAnsi="Calibri" w:eastAsia="PingFang SC"/>
        </w:rPr>
        <w:t>：所有 signal views 中 CFA 的最小值，防止只挑最容易的显式 persona 形式；</w:t>
      </w:r>
    </w:p>
    <w:p>
      <w:pPr>
        <w:pStyle w:val="ListBullet"/>
      </w:pPr>
      <w:r>
        <w:rPr>
          <w:rFonts w:ascii="Calibri" w:hAnsi="Calibri" w:eastAsia="PingFang SC"/>
          <w:b/>
        </w:rPr>
        <w:t>Cue Gap</w:t>
      </w:r>
      <w:r>
        <w:rPr>
          <w:rFonts w:ascii="Calibri" w:hAnsi="Calibri" w:eastAsia="PingFang SC"/>
        </w:rPr>
        <w:t>：最高 CFA 与最低 CFA 之差，衡量结论对表达渠道/措辞的敏感度；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与自然对话历史之间的表现差；与 Cue Gap 分开报告，以区分渠道可用性和表面改写敏感性；</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2"/>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2"/>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2"/>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2"/>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2"/>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3"/>
        </w:numPr>
        <w:spacing w:after="80" w:line="290" w:lineRule="auto"/>
        <w:ind w:left="540" w:hanging="279"/>
      </w:pPr>
      <w:r>
        <w:rPr>
          <w:rFonts w:ascii="Calibri" w:hAnsi="Calibri" w:eastAsia="PingFang SC"/>
        </w:rPr>
        <w:t>Task only；</w:t>
      </w:r>
    </w:p>
    <w:p>
      <w:pPr>
        <w:numPr>
          <w:ilvl w:val="0"/>
          <w:numId w:val="23"/>
        </w:numPr>
        <w:spacing w:after="80" w:line="290" w:lineRule="auto"/>
        <w:ind w:left="540" w:hanging="279"/>
      </w:pPr>
      <w:r>
        <w:rPr>
          <w:rFonts w:ascii="Calibri" w:hAnsi="Calibri" w:eastAsia="PingFang SC"/>
        </w:rPr>
        <w:t>Oracle structured persona；</w:t>
      </w:r>
    </w:p>
    <w:p>
      <w:pPr>
        <w:numPr>
          <w:ilvl w:val="0"/>
          <w:numId w:val="23"/>
        </w:numPr>
        <w:spacing w:after="80" w:line="290" w:lineRule="auto"/>
        <w:ind w:left="540" w:hanging="279"/>
      </w:pPr>
      <w:r>
        <w:rPr>
          <w:rFonts w:ascii="Calibri" w:hAnsi="Calibri" w:eastAsia="PingFang SC"/>
        </w:rPr>
        <w:t>语义等价的自然对话历史；</w:t>
      </w:r>
    </w:p>
    <w:p>
      <w:pPr>
        <w:numPr>
          <w:ilvl w:val="0"/>
          <w:numId w:val="23"/>
        </w:numPr>
        <w:spacing w:after="80" w:line="290" w:lineRule="auto"/>
        <w:ind w:left="540" w:hanging="279"/>
      </w:pPr>
      <w:r>
        <w:rPr>
          <w:rFonts w:ascii="Calibri" w:hAnsi="Calibri" w:eastAsia="PingFang SC"/>
        </w:rPr>
        <w:t>历史 + 检索式 memory；</w:t>
      </w:r>
    </w:p>
    <w:p>
      <w:pPr>
        <w:numPr>
          <w:ilvl w:val="0"/>
          <w:numId w:val="23"/>
        </w:numPr>
        <w:spacing w:after="80" w:line="290" w:lineRule="auto"/>
        <w:ind w:left="540" w:hanging="279"/>
      </w:pPr>
      <w:r>
        <w:rPr>
          <w:rFonts w:ascii="Calibri" w:hAnsi="Calibri" w:eastAsia="PingFang SC"/>
        </w:rPr>
        <w:t>主动澄清；</w:t>
      </w:r>
    </w:p>
    <w:p>
      <w:pPr>
        <w:numPr>
          <w:ilvl w:val="0"/>
          <w:numId w:val="23"/>
        </w:numPr>
        <w:spacing w:after="80" w:line="290" w:lineRule="auto"/>
        <w:ind w:left="540" w:hanging="279"/>
      </w:pPr>
      <w:r>
        <w:rPr>
          <w:rFonts w:ascii="Calibri" w:hAnsi="Calibri" w:eastAsia="PingFang SC"/>
        </w:rPr>
        <w:t>Persona shuffled（目标用户不变、只交换可见 signal bundle 的负对照）；</w:t>
      </w:r>
    </w:p>
    <w:p>
      <w:pPr>
        <w:numPr>
          <w:ilvl w:val="0"/>
          <w:numId w:val="23"/>
        </w:numPr>
        <w:spacing w:after="80" w:line="290" w:lineRule="auto"/>
        <w:ind w:left="540" w:hanging="279"/>
      </w:pPr>
      <w:r>
        <w:rPr>
          <w:rFonts w:ascii="Calibri" w:hAnsi="Calibri" w:eastAsia="PingFang SC"/>
        </w:rPr>
        <w:t>Irrelevant persona（无关属性，过度个性化探针）；</w:t>
      </w:r>
    </w:p>
    <w:p>
      <w:pPr>
        <w:numPr>
          <w:ilvl w:val="0"/>
          <w:numId w:val="23"/>
        </w:numPr>
        <w:spacing w:after="80" w:line="290" w:lineRule="auto"/>
        <w:ind w:left="540" w:hanging="279"/>
      </w:pPr>
      <w:r>
        <w:rPr>
          <w:rFonts w:ascii="Calibri" w:hAnsi="Calibri" w:eastAsia="PingFang SC"/>
        </w:rPr>
        <w:t>Contradictory/dated history（冲突与时效）；</w:t>
      </w:r>
    </w:p>
    <w:p>
      <w:pPr>
        <w:numPr>
          <w:ilvl w:val="0"/>
          <w:numId w:val="23"/>
        </w:numPr>
        <w:spacing w:after="80" w:line="290" w:lineRule="auto"/>
        <w:ind w:left="540" w:hanging="279"/>
      </w:pPr>
      <w:r>
        <w:rPr>
          <w:rFonts w:ascii="Calibri" w:hAnsi="Calibri" w:eastAsia="PingFang SC"/>
        </w:rPr>
        <w:t>Context dilution（不同长度和位置）；</w:t>
      </w:r>
    </w:p>
    <w:p>
      <w:pPr>
        <w:numPr>
          <w:ilvl w:val="0"/>
          <w:numId w:val="23"/>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分歧仲裁；其中所有 real-user-gold family 与不少于 8 个分层 family 必须收集目标用户 matched/swapped 盲评，不能用通用标注者代替。</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4"/>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4"/>
        </w:numPr>
        <w:spacing w:after="80" w:line="290" w:lineRule="auto"/>
        <w:ind w:left="540" w:hanging="279"/>
      </w:pPr>
      <w:r>
        <w:rPr>
          <w:rFonts w:ascii="Calibri" w:hAnsi="Calibri" w:eastAsia="PingFang SC"/>
          <w:b/>
        </w:rPr>
        <w:t>Signal acquisition board</w:t>
      </w:r>
      <w:r>
        <w:rPr>
          <w:rFonts w:ascii="Calibri" w:hAnsi="Calibri" w:eastAsia="PingFang SC"/>
        </w:rPr>
        <w:t>：按 structured persona、natural history、clarification、workspace/history 报 Worst-view CFA、Cue Gap 和 Clarification Value；回答系统需要多显式的用户信息。</w:t>
      </w:r>
    </w:p>
    <w:p>
      <w:pPr>
        <w:numPr>
          <w:ilvl w:val="0"/>
          <w:numId w:val="24"/>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4"/>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 execution regime、trace level、eligible task coverage 和未运行原因。只有共同完成同一 anchor、同一环境、同一预算的系统才做显著性比较；跨商业产品的结果只在 E2 产品榜比较。主文优先报告交互项，如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w:t>
      </w:r>
      <w:r>
        <w:rPr>
          <w:rFonts w:ascii="Courier New" w:hAnsi="Courier New" w:eastAsia="PingFang SC"/>
          <w:color w:val="6A3E00"/>
          <w:sz w:val="20"/>
        </w:rPr>
        <w:t>orchestration × handoff count</w:t>
      </w:r>
      <w:r>
        <w:rPr>
          <w:rFonts w:ascii="Calibri" w:hAnsi="Calibri" w:eastAsia="PingFang SC"/>
        </w:rPr>
        <w:t>，这些才是“不同 agent 模式能力差异”的实证证据。</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先明确承认 PDR-Bench 已能用 task/persona-conditioned P-Score 评价 absolute adaptation，且其同 query 的 agent-report pairwise 比较回答“对这个用户哪份报告更好”。再区分两类增量：核心方法增量是同 task/evidence 下构造 </w:t>
      </w:r>
      <w:r>
        <w:rPr>
          <w:rFonts w:ascii="Courier New" w:hAnsi="Courier New" w:eastAsia="PingFang SC"/>
          <w:color w:val="6A3E00"/>
          <w:sz w:val="20"/>
        </w:rPr>
        <w:t>M[i,j] = PF_i(Y_j)</w:t>
      </w:r>
      <w:r>
        <w:rPr>
          <w:rFonts w:ascii="Calibri" w:hAnsi="Calibri" w:eastAsia="PingFang SC"/>
        </w:rPr>
        <w:t xml:space="preserve"> 的跨用户 2×2 矩阵，并用 must-change/must-hold/must-not 估计 counterfactual personalization effect；测量可靠性增量是针对 PDR 已报告的 PCA=0.43、窄校准样本、两层动态 rubric、复合事实核验链和补偿式聚合，建立目标用户盲评、criterion versioning、hard gate 与 JudgeBench。任务、agent 和 stress 广度只提供外部效度，不单独构成创新。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把论文主张限定为“用户条件化结果价值/反事实特异性”，不声称识别内部认知机制。另做三类正交测试：同一 user-state 的 persona、自然历史、澄清对话和去关键词改写应保持 must-change 决策；仅改变无关人口属性或表面措辞时 must-hold 应稳定；改变任务相关约束且控制表述形式时才应触发定向变化。长度、位置、漂亮格式和关键词堆砌放入 JudgeBench；这些是 PDR-Bench 未报告的 judge robustness 证据，但论文只写“尚未验证”，不写成“已经被欺骗”。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1"/>
      </w:pPr>
      <w:r>
        <w:t>12. 预期贡献、成功标准与发表边界</w:t>
      </w:r>
    </w:p>
    <w:p>
      <w:pPr>
        <w:pStyle w:val="Heading2"/>
      </w:pPr>
      <w:r>
        <w:t>12.1 预期贡献</w:t>
      </w:r>
    </w:p>
    <w:p>
      <w:pPr>
        <w:numPr>
          <w:ilvl w:val="0"/>
          <w:numId w:val="25"/>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5"/>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5"/>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5"/>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5"/>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5"/>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6"/>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6"/>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6"/>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6"/>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6"/>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6"/>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6"/>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6"/>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6"/>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：首版首先验证 counterfactual personalization effect 是否可由跨用户对照和三类预冻结契约稳定识别；ontology、信号渠道、纵向算子、rubric compiler 与 JudgeBench 用于支撑其可运行性、稳健性和外部效度。不声称穷尽所有 DR 模式，也不对 18 个 task-cube 单元分别建立稳定排行榜。</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xml:space="preserve">. arXiv:2605.19276, 2026. </w:t>
      </w:r>
      <w:hyperlink r:id="rId33">
        <w:r>
          <w:rPr>
            <w:rFonts w:ascii="Calibri" w:hAnsi="Calibri" w:eastAsia="PingFang SC"/>
            <w:color w:val="2E74B5"/>
            <w:u w:val="single"/>
            <w:sz w:val="19"/>
            <w:szCs w:val="19"/>
          </w:rPr>
          <w:t>https://arxiv.org/abs/2605.19276</w:t>
        </w:r>
      </w:hyperlink>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xml:space="preserve">. </w:t>
      </w:r>
      <w:hyperlink r:id="rId34">
        <w:r>
          <w:rPr>
            <w:rFonts w:ascii="Calibri" w:hAnsi="Calibri" w:eastAsia="PingFang SC"/>
            <w:color w:val="2E74B5"/>
            <w:u w:val="single"/>
            <w:sz w:val="19"/>
            <w:szCs w:val="19"/>
          </w:rPr>
          <w:t>https://evalscope.readthedocs.io/en/refact_readme/get_started/introduction.html</w:t>
        </w:r>
      </w:hyperlink>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xml:space="preserve">. arXiv:2412.14470, 2024/2025. </w:t>
      </w:r>
      <w:hyperlink r:id="rId35">
        <w:r>
          <w:rPr>
            <w:rFonts w:ascii="Calibri" w:hAnsi="Calibri" w:eastAsia="PingFang SC"/>
            <w:color w:val="2E74B5"/>
            <w:u w:val="single"/>
            <w:sz w:val="19"/>
            <w:szCs w:val="19"/>
          </w:rPr>
          <w:t>https://arxiv.org/abs/2412.14470</w:t>
        </w:r>
      </w:hyperlink>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xml:space="preserve">. arXiv:2509.25106; ICLR 2026. </w:t>
      </w:r>
      <w:hyperlink r:id="rId25">
        <w:r>
          <w:rPr>
            <w:rFonts w:ascii="Calibri" w:hAnsi="Calibri" w:eastAsia="PingFang SC"/>
            <w:color w:val="2E74B5"/>
            <w:u w:val="single"/>
            <w:sz w:val="19"/>
            <w:szCs w:val="19"/>
          </w:rPr>
          <w:t>https://arxiv.org/abs/2509.25106</w:t>
        </w:r>
      </w:hyperlink>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xml:space="preserve">. </w:t>
      </w:r>
      <w:hyperlink r:id="rId38">
        <w:r>
          <w:rPr>
            <w:rFonts w:ascii="Calibri" w:hAnsi="Calibri" w:eastAsia="PingFang SC"/>
            <w:color w:val="2E74B5"/>
            <w:u w:val="single"/>
            <w:sz w:val="19"/>
            <w:szCs w:val="19"/>
          </w:rPr>
          <w:t>https://macaron.im/mindlab/research/macaron-v1-preview</w:t>
        </w:r>
      </w:hyperlink>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xml:space="preserve">. arXiv:2506.11763. </w:t>
      </w:r>
      <w:hyperlink r:id="rId39">
        <w:r>
          <w:rPr>
            <w:rFonts w:ascii="Calibri" w:hAnsi="Calibri" w:eastAsia="PingFang SC"/>
            <w:color w:val="2E74B5"/>
            <w:u w:val="single"/>
            <w:sz w:val="19"/>
            <w:szCs w:val="19"/>
          </w:rPr>
          <w:t>https://arxiv.org/abs/2506.11763</w:t>
        </w:r>
      </w:hyperlink>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xml:space="preserve">. arXiv:2506.21506. </w:t>
      </w:r>
      <w:hyperlink r:id="rId40">
        <w:r>
          <w:rPr>
            <w:rFonts w:ascii="Calibri" w:hAnsi="Calibri" w:eastAsia="PingFang SC"/>
            <w:color w:val="2E74B5"/>
            <w:u w:val="single"/>
            <w:sz w:val="19"/>
            <w:szCs w:val="19"/>
          </w:rPr>
          <w:t>https://arxiv.org/abs/2506.21506</w:t>
        </w:r>
      </w:hyperlink>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xml:space="preserve">. arXiv:2508.06600. </w:t>
      </w:r>
      <w:hyperlink r:id="rId41">
        <w:r>
          <w:rPr>
            <w:rFonts w:ascii="Calibri" w:hAnsi="Calibri" w:eastAsia="PingFang SC"/>
            <w:color w:val="2E74B5"/>
            <w:u w:val="single"/>
            <w:sz w:val="19"/>
            <w:szCs w:val="19"/>
          </w:rPr>
          <w:t>https://arxiv.org/abs/2508.06600</w:t>
        </w:r>
      </w:hyperlink>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xml:space="preserve">. OpenAI, 2025. </w:t>
      </w:r>
      <w:hyperlink r:id="rId42">
        <w:r>
          <w:rPr>
            <w:rFonts w:ascii="Calibri" w:hAnsi="Calibri" w:eastAsia="PingFang SC"/>
            <w:color w:val="2E74B5"/>
            <w:u w:val="single"/>
            <w:sz w:val="19"/>
            <w:szCs w:val="19"/>
          </w:rPr>
          <w:t>https://openai.com/index/paperbench/</w:t>
        </w:r>
      </w:hyperlink>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xml:space="preserve">. </w:t>
      </w:r>
      <w:hyperlink r:id="rId43">
        <w:r>
          <w:rPr>
            <w:rFonts w:ascii="Calibri" w:hAnsi="Calibri" w:eastAsia="PingFang SC"/>
            <w:color w:val="2E74B5"/>
            <w:u w:val="single"/>
            <w:sz w:val="19"/>
            <w:szCs w:val="19"/>
          </w:rPr>
          <w:t>https://livedeepresearch.github.io/</w:t>
        </w:r>
      </w:hyperlink>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xml:space="preserve">. arXiv:2505.19253. </w:t>
      </w:r>
      <w:hyperlink r:id="rId44">
        <w:r>
          <w:rPr>
            <w:rFonts w:ascii="Calibri" w:hAnsi="Calibri" w:eastAsia="PingFang SC"/>
            <w:color w:val="2E74B5"/>
            <w:u w:val="single"/>
            <w:sz w:val="19"/>
            <w:szCs w:val="19"/>
          </w:rPr>
          <w:t>https://arxiv.org/abs/2505.19253</w:t>
        </w:r>
      </w:hyperlink>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xml:space="preserve">. arXiv:2510.00172; ICLR 2026. </w:t>
      </w:r>
      <w:hyperlink r:id="rId45">
        <w:r>
          <w:rPr>
            <w:rFonts w:ascii="Calibri" w:hAnsi="Calibri" w:eastAsia="PingFang SC"/>
            <w:color w:val="2E74B5"/>
            <w:u w:val="single"/>
            <w:sz w:val="19"/>
            <w:szCs w:val="19"/>
          </w:rPr>
          <w:t>https://arxiv.org/abs/2510.00172</w:t>
        </w:r>
      </w:hyperlink>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xml:space="preserve">. ICLR 2025. </w:t>
      </w:r>
      <w:hyperlink r:id="rId46">
        <w:r>
          <w:rPr>
            <w:rFonts w:ascii="Calibri" w:hAnsi="Calibri" w:eastAsia="PingFang SC"/>
            <w:color w:val="2E74B5"/>
            <w:u w:val="single"/>
            <w:sz w:val="19"/>
            <w:szCs w:val="19"/>
          </w:rPr>
          <w:t>https://livebench.ai/</w:t>
        </w:r>
      </w:hyperlink>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xml:space="preserve">. arXiv:2310.17631, 2023. </w:t>
      </w:r>
      <w:hyperlink r:id="rId47">
        <w:r>
          <w:rPr>
            <w:rFonts w:ascii="Calibri" w:hAnsi="Calibri" w:eastAsia="PingFang SC"/>
            <w:color w:val="2E74B5"/>
            <w:u w:val="single"/>
            <w:sz w:val="19"/>
            <w:szCs w:val="19"/>
          </w:rPr>
          <w:t>https://arxiv.org/abs/2310.17631</w:t>
        </w:r>
      </w:hyperlink>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xml:space="preserve">. arXiv:2405.01535, 2024. </w:t>
      </w:r>
      <w:hyperlink r:id="rId48">
        <w:r>
          <w:rPr>
            <w:rFonts w:ascii="Calibri" w:hAnsi="Calibri" w:eastAsia="PingFang SC"/>
            <w:color w:val="2E74B5"/>
            <w:u w:val="single"/>
            <w:sz w:val="19"/>
            <w:szCs w:val="19"/>
          </w:rPr>
          <w:t>https://arxiv.org/abs/2405.01535</w:t>
        </w:r>
      </w:hyperlink>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xml:space="preserve">. arXiv:2403.02839, 2024. </w:t>
      </w:r>
      <w:hyperlink r:id="rId49">
        <w:r>
          <w:rPr>
            <w:rFonts w:ascii="Calibri" w:hAnsi="Calibri" w:eastAsia="PingFang SC"/>
            <w:color w:val="2E74B5"/>
            <w:u w:val="single"/>
            <w:sz w:val="19"/>
            <w:szCs w:val="19"/>
          </w:rPr>
          <w:t>https://arxiv.org/abs/2403.02839</w:t>
        </w:r>
      </w:hyperlink>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xml:space="preserve">. arXiv:2508.04183; ICLR 2026. </w:t>
      </w:r>
      <w:hyperlink r:id="rId50">
        <w:r>
          <w:rPr>
            <w:rFonts w:ascii="Calibri" w:hAnsi="Calibri" w:eastAsia="PingFang SC"/>
            <w:color w:val="2E74B5"/>
            <w:u w:val="single"/>
            <w:sz w:val="19"/>
            <w:szCs w:val="19"/>
          </w:rPr>
          <w:t>https://arxiv.org/abs/2508.04183</w:t>
        </w:r>
      </w:hyperlink>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xml:space="preserve">. arXiv:2511.07685; ICLR 2026. </w:t>
      </w:r>
      <w:hyperlink r:id="rId51">
        <w:r>
          <w:rPr>
            <w:rFonts w:ascii="Calibri" w:hAnsi="Calibri" w:eastAsia="PingFang SC"/>
            <w:color w:val="2E74B5"/>
            <w:u w:val="single"/>
            <w:sz w:val="19"/>
            <w:szCs w:val="19"/>
          </w:rPr>
          <w:t>https://arxiv.org/abs/2511.07685</w:t>
        </w:r>
      </w:hyperlink>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w:t>
      </w:r>
      <w:hyperlink r:id="rId52">
        <w:r>
          <w:rPr>
            <w:rFonts w:ascii="Calibri" w:hAnsi="Calibri" w:eastAsia="PingFang SC"/>
            <w:color w:val="2E74B5"/>
            <w:u w:val="single"/>
            <w:sz w:val="19"/>
            <w:szCs w:val="19"/>
          </w:rPr>
          <w:t>https://arxiv.org/abs/2407.15711</w:t>
        </w:r>
      </w:hyperlink>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xml:space="preserve">. arXiv:2402.17896, 2024. </w:t>
      </w:r>
      <w:hyperlink r:id="rId53">
        <w:r>
          <w:rPr>
            <w:rFonts w:ascii="Calibri" w:hAnsi="Calibri" w:eastAsia="PingFang SC"/>
            <w:color w:val="2E74B5"/>
            <w:u w:val="single"/>
            <w:sz w:val="19"/>
            <w:szCs w:val="19"/>
          </w:rPr>
          <w:t>https://arxiv.org/abs/2402.17896</w:t>
        </w:r>
      </w:hyperlink>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xml:space="preserve">. arXiv:2507.16280, 2025. </w:t>
      </w:r>
      <w:hyperlink r:id="rId54">
        <w:r>
          <w:rPr>
            <w:rFonts w:ascii="Calibri" w:hAnsi="Calibri" w:eastAsia="PingFang SC"/>
            <w:color w:val="2E74B5"/>
            <w:u w:val="single"/>
            <w:sz w:val="19"/>
            <w:szCs w:val="19"/>
          </w:rPr>
          <w:t>https://arxiv.org/abs/2507.16280</w:t>
        </w:r>
      </w:hyperlink>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xml:space="preserve">. TMLR, 2023. </w:t>
      </w:r>
      <w:hyperlink r:id="rId67">
        <w:r>
          <w:rPr>
            <w:rFonts w:ascii="Calibri" w:hAnsi="Calibri" w:eastAsia="PingFang SC"/>
            <w:color w:val="2E74B5"/>
            <w:u w:val="single"/>
            <w:sz w:val="19"/>
            <w:szCs w:val="19"/>
          </w:rPr>
          <w:t>https://arxiv.org/abs/2211.09110</w:t>
        </w:r>
      </w:hyperlink>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xml:space="preserve">. ACL, 2020. </w:t>
      </w:r>
      <w:hyperlink r:id="rId66">
        <w:r>
          <w:rPr>
            <w:rFonts w:ascii="Calibri" w:hAnsi="Calibri" w:eastAsia="PingFang SC"/>
            <w:color w:val="2E74B5"/>
            <w:u w:val="single"/>
            <w:sz w:val="19"/>
            <w:szCs w:val="19"/>
          </w:rPr>
          <w:t>https://aclanthology.org/2020.acl-main.442/</w:t>
        </w:r>
      </w:hyperlink>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xml:space="preserve">. arXiv:2411.12990, 2024. </w:t>
      </w:r>
      <w:hyperlink r:id="rId68">
        <w:r>
          <w:rPr>
            <w:rFonts w:ascii="Calibri" w:hAnsi="Calibri" w:eastAsia="PingFang SC"/>
            <w:color w:val="2E74B5"/>
            <w:u w:val="single"/>
            <w:sz w:val="19"/>
            <w:szCs w:val="19"/>
          </w:rPr>
          <w:t>https://arxiv.org/abs/2411.12990</w:t>
        </w:r>
      </w:hyperlink>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xml:space="preserve">. NeurIPS Datasets and Benchmarks, 2025. </w:t>
      </w:r>
      <w:hyperlink r:id="rId69">
        <w:r>
          <w:rPr>
            <w:rFonts w:ascii="Calibri" w:hAnsi="Calibri" w:eastAsia="PingFang SC"/>
            <w:color w:val="2E74B5"/>
            <w:u w:val="single"/>
            <w:sz w:val="19"/>
            <w:szCs w:val="19"/>
          </w:rPr>
          <w:t>https://papers.neurips.cc/paper_files/paper/2025/hash/76175f4355e2f67cf91be468c8860070-Abstract-Datasets_and_Benchmarks_Track.html</w:t>
        </w:r>
      </w:hyperlink>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xml:space="preserve">. arXiv:2607.27056, 2026. </w:t>
      </w:r>
      <w:hyperlink r:id="rId55">
        <w:r>
          <w:rPr>
            <w:rFonts w:ascii="Calibri" w:hAnsi="Calibri" w:eastAsia="PingFang SC"/>
            <w:color w:val="2E74B5"/>
            <w:u w:val="single"/>
            <w:sz w:val="19"/>
            <w:szCs w:val="19"/>
          </w:rPr>
          <w:t>https://arxiv.org/abs/2607.27056</w:t>
        </w:r>
      </w:hyperlink>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xml:space="preserve">. arXiv:2607.21635, 2026. </w:t>
      </w:r>
      <w:hyperlink r:id="rId56">
        <w:r>
          <w:rPr>
            <w:rFonts w:ascii="Calibri" w:hAnsi="Calibri" w:eastAsia="PingFang SC"/>
            <w:color w:val="2E74B5"/>
            <w:u w:val="single"/>
            <w:sz w:val="19"/>
            <w:szCs w:val="19"/>
          </w:rPr>
          <w:t>https://arxiv.org/abs/2607.21635</w:t>
        </w:r>
      </w:hyperlink>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xml:space="preserve">. arXiv:2607.20482, 2026. </w:t>
      </w:r>
      <w:hyperlink r:id="rId57">
        <w:r>
          <w:rPr>
            <w:rFonts w:ascii="Calibri" w:hAnsi="Calibri" w:eastAsia="PingFang SC"/>
            <w:color w:val="2E74B5"/>
            <w:u w:val="single"/>
            <w:sz w:val="19"/>
            <w:szCs w:val="19"/>
          </w:rPr>
          <w:t>https://arxiv.org/abs/2607.20482</w:t>
        </w:r>
      </w:hyperlink>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xml:space="preserve">. arXiv:2607.15948, 2026. </w:t>
      </w:r>
      <w:hyperlink r:id="rId58">
        <w:r>
          <w:rPr>
            <w:rFonts w:ascii="Calibri" w:hAnsi="Calibri" w:eastAsia="PingFang SC"/>
            <w:color w:val="2E74B5"/>
            <w:u w:val="single"/>
            <w:sz w:val="19"/>
            <w:szCs w:val="19"/>
          </w:rPr>
          <w:t>https://arxiv.org/abs/2607.15948</w:t>
        </w:r>
      </w:hyperlink>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xml:space="preserve">. arXiv:2607.12254, 2026. </w:t>
      </w:r>
      <w:hyperlink r:id="rId59">
        <w:r>
          <w:rPr>
            <w:rFonts w:ascii="Calibri" w:hAnsi="Calibri" w:eastAsia="PingFang SC"/>
            <w:color w:val="2E74B5"/>
            <w:u w:val="single"/>
            <w:sz w:val="19"/>
            <w:szCs w:val="19"/>
          </w:rPr>
          <w:t>https://arxiv.org/abs/2607.12254</w:t>
        </w:r>
      </w:hyperlink>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xml:space="preserve">. arXiv:2607.10526, 2026. </w:t>
      </w:r>
      <w:hyperlink r:id="rId60">
        <w:r>
          <w:rPr>
            <w:rFonts w:ascii="Calibri" w:hAnsi="Calibri" w:eastAsia="PingFang SC"/>
            <w:color w:val="2E74B5"/>
            <w:u w:val="single"/>
            <w:sz w:val="19"/>
            <w:szCs w:val="19"/>
          </w:rPr>
          <w:t>https://arxiv.org/abs/2607.10526</w:t>
        </w:r>
      </w:hyperlink>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xml:space="preserve">. arXiv:2607.03162, 2026. </w:t>
      </w:r>
      <w:hyperlink r:id="rId61">
        <w:r>
          <w:rPr>
            <w:rFonts w:ascii="Calibri" w:hAnsi="Calibri" w:eastAsia="PingFang SC"/>
            <w:color w:val="2E74B5"/>
            <w:u w:val="single"/>
            <w:sz w:val="19"/>
            <w:szCs w:val="19"/>
          </w:rPr>
          <w:t>https://arxiv.org/abs/2607.03162</w:t>
        </w:r>
      </w:hyperlink>
    </w:p>
    <w:p>
      <w:pPr>
        <w:spacing w:after="80" w:line="264" w:lineRule="auto"/>
        <w:ind w:left="360" w:hanging="360"/>
      </w:pPr>
      <w:r>
        <w:rPr>
          <w:rFonts w:ascii="Calibri" w:hAnsi="Calibri" w:eastAsia="PingFang SC"/>
          <w:sz w:val="19"/>
        </w:rPr>
        <w:t xml:space="preserve">[33] Salemi et al. </w:t>
      </w:r>
      <w:r>
        <w:rPr>
          <w:rFonts w:ascii="Calibri" w:hAnsi="Calibri" w:eastAsia="PingFang SC"/>
          <w:i/>
          <w:sz w:val="19"/>
        </w:rPr>
        <w:t>LaMP: When Large Language Models Meet Personalization</w:t>
      </w:r>
      <w:r>
        <w:rPr>
          <w:rFonts w:ascii="Calibri" w:hAnsi="Calibri" w:eastAsia="PingFang SC"/>
          <w:sz w:val="19"/>
        </w:rPr>
        <w:t xml:space="preserve">. ACL, 2024. </w:t>
      </w:r>
      <w:hyperlink r:id="rId11">
        <w:r>
          <w:rPr>
            <w:rFonts w:ascii="Calibri" w:hAnsi="Calibri" w:eastAsia="PingFang SC"/>
            <w:color w:val="2E74B5"/>
            <w:u w:val="single"/>
            <w:sz w:val="19"/>
            <w:szCs w:val="19"/>
          </w:rPr>
          <w:t>https://aclanthology.org/2024.acl-long.399/</w:t>
        </w:r>
      </w:hyperlink>
    </w:p>
    <w:p>
      <w:pPr>
        <w:spacing w:after="80" w:line="264" w:lineRule="auto"/>
        <w:ind w:left="360" w:hanging="360"/>
      </w:pPr>
      <w:r>
        <w:rPr>
          <w:rFonts w:ascii="Calibri" w:hAnsi="Calibri" w:eastAsia="PingFang SC"/>
          <w:sz w:val="19"/>
        </w:rPr>
        <w:t xml:space="preserve">[34] Singh et al. </w:t>
      </w:r>
      <w:r>
        <w:rPr>
          <w:rFonts w:ascii="Calibri" w:hAnsi="Calibri" w:eastAsia="PingFang SC"/>
          <w:i/>
          <w:sz w:val="19"/>
        </w:rPr>
        <w:t>Personal Large Language Model Agents: A Case Study on Tailored Travel Planning</w:t>
      </w:r>
      <w:r>
        <w:rPr>
          <w:rFonts w:ascii="Calibri" w:hAnsi="Calibri" w:eastAsia="PingFang SC"/>
          <w:sz w:val="19"/>
        </w:rPr>
        <w:t xml:space="preserve">. EMNLP Industry Track, 2024. </w:t>
      </w:r>
      <w:hyperlink r:id="rId13">
        <w:r>
          <w:rPr>
            <w:rFonts w:ascii="Calibri" w:hAnsi="Calibri" w:eastAsia="PingFang SC"/>
            <w:color w:val="2E74B5"/>
            <w:u w:val="single"/>
            <w:sz w:val="19"/>
            <w:szCs w:val="19"/>
          </w:rPr>
          <w:t>https://aclanthology.org/2024.emnlp-industry.37/</w:t>
        </w:r>
      </w:hyperlink>
    </w:p>
    <w:p>
      <w:pPr>
        <w:spacing w:after="80" w:line="264" w:lineRule="auto"/>
        <w:ind w:left="360" w:hanging="360"/>
      </w:pPr>
      <w:r>
        <w:rPr>
          <w:rFonts w:ascii="Calibri" w:hAnsi="Calibri" w:eastAsia="PingFang SC"/>
          <w:sz w:val="19"/>
        </w:rPr>
        <w:t xml:space="preserve">[35] Zhao et al. </w:t>
      </w:r>
      <w:r>
        <w:rPr>
          <w:rFonts w:ascii="Calibri" w:hAnsi="Calibri" w:eastAsia="PingFang SC"/>
          <w:i/>
          <w:sz w:val="19"/>
        </w:rPr>
        <w:t>PersonaLens: A Benchmark for Personalization Evaluation in Conversational AI Assistants</w:t>
      </w:r>
      <w:r>
        <w:rPr>
          <w:rFonts w:ascii="Calibri" w:hAnsi="Calibri" w:eastAsia="PingFang SC"/>
          <w:sz w:val="19"/>
        </w:rPr>
        <w:t xml:space="preserve">. Findings of ACL, 2025. </w:t>
      </w:r>
      <w:hyperlink r:id="rId12">
        <w:r>
          <w:rPr>
            <w:rFonts w:ascii="Calibri" w:hAnsi="Calibri" w:eastAsia="PingFang SC"/>
            <w:color w:val="2E74B5"/>
            <w:u w:val="single"/>
            <w:sz w:val="19"/>
            <w:szCs w:val="19"/>
          </w:rPr>
          <w:t>https://aclanthology.org/2025.findings-acl.927/</w:t>
        </w:r>
      </w:hyperlink>
    </w:p>
    <w:p>
      <w:pPr>
        <w:spacing w:after="80" w:line="264" w:lineRule="auto"/>
        <w:ind w:left="360" w:hanging="360"/>
      </w:pPr>
      <w:r>
        <w:rPr>
          <w:rFonts w:ascii="Calibri" w:hAnsi="Calibri" w:eastAsia="PingFang SC"/>
          <w:sz w:val="19"/>
        </w:rPr>
        <w:t xml:space="preserve">[36] Jiang et al. </w:t>
      </w:r>
      <w:r>
        <w:rPr>
          <w:rFonts w:ascii="Calibri" w:hAnsi="Calibri" w:eastAsia="PingFang SC"/>
          <w:i/>
          <w:sz w:val="19"/>
        </w:rPr>
        <w:t>Know Me, Respond to Me: Benchmarking LLMs for Dynamic User Profiling and Personalized Responses at Scale</w:t>
      </w:r>
      <w:r>
        <w:rPr>
          <w:rFonts w:ascii="Calibri" w:hAnsi="Calibri" w:eastAsia="PingFang SC"/>
          <w:sz w:val="19"/>
        </w:rPr>
        <w:t xml:space="preserve">. arXiv:2504.14225, 2025. </w:t>
      </w:r>
      <w:hyperlink r:id="rId19">
        <w:r>
          <w:rPr>
            <w:rFonts w:ascii="Calibri" w:hAnsi="Calibri" w:eastAsia="PingFang SC"/>
            <w:color w:val="2E74B5"/>
            <w:u w:val="single"/>
            <w:sz w:val="19"/>
            <w:szCs w:val="19"/>
          </w:rPr>
          <w:t>https://arxiv.org/abs/2504.14225</w:t>
        </w:r>
      </w:hyperlink>
    </w:p>
    <w:p>
      <w:pPr>
        <w:spacing w:after="80" w:line="264" w:lineRule="auto"/>
        <w:ind w:left="360" w:hanging="360"/>
      </w:pPr>
      <w:r>
        <w:rPr>
          <w:rFonts w:ascii="Calibri" w:hAnsi="Calibri" w:eastAsia="PingFang SC"/>
          <w:sz w:val="19"/>
        </w:rPr>
        <w:t xml:space="preserve">[37] Hao et al. </w:t>
      </w:r>
      <w:r>
        <w:rPr>
          <w:rFonts w:ascii="Calibri" w:hAnsi="Calibri" w:eastAsia="PingFang SC"/>
          <w:i/>
          <w:sz w:val="19"/>
        </w:rPr>
        <w:t>Evaluating Personalized Tool-Augmented LLMs from the Perspectives of Personalization and Proactivity</w:t>
      </w:r>
      <w:r>
        <w:rPr>
          <w:rFonts w:ascii="Calibri" w:hAnsi="Calibri" w:eastAsia="PingFang SC"/>
          <w:sz w:val="19"/>
        </w:rPr>
        <w:t xml:space="preserve">. ACL, 2025. </w:t>
      </w:r>
      <w:hyperlink r:id="rId14">
        <w:r>
          <w:rPr>
            <w:rFonts w:ascii="Calibri" w:hAnsi="Calibri" w:eastAsia="PingFang SC"/>
            <w:color w:val="2E74B5"/>
            <w:u w:val="single"/>
            <w:sz w:val="19"/>
            <w:szCs w:val="19"/>
          </w:rPr>
          <w:t>https://aclanthology.org/2025.acl-long.1064/</w:t>
        </w:r>
      </w:hyperlink>
    </w:p>
    <w:p>
      <w:pPr>
        <w:spacing w:after="80" w:line="264" w:lineRule="auto"/>
        <w:ind w:left="360" w:hanging="360"/>
      </w:pPr>
      <w:r>
        <w:rPr>
          <w:rFonts w:ascii="Calibri" w:hAnsi="Calibri" w:eastAsia="PingFang SC"/>
          <w:sz w:val="19"/>
        </w:rPr>
        <w:t xml:space="preserve">[38] Cheng et al. </w:t>
      </w:r>
      <w:r>
        <w:rPr>
          <w:rFonts w:ascii="Calibri" w:hAnsi="Calibri" w:eastAsia="PingFang SC"/>
          <w:i/>
          <w:sz w:val="19"/>
        </w:rPr>
        <w:t>ToolSpectrum: Towards Personalized Tool Utilization for Large Language Models</w:t>
      </w:r>
      <w:r>
        <w:rPr>
          <w:rFonts w:ascii="Calibri" w:hAnsi="Calibri" w:eastAsia="PingFang SC"/>
          <w:sz w:val="19"/>
        </w:rPr>
        <w:t xml:space="preserve">. arXiv:2505.13176, 2025. </w:t>
      </w:r>
      <w:hyperlink r:id="rId15">
        <w:r>
          <w:rPr>
            <w:rFonts w:ascii="Calibri" w:hAnsi="Calibri" w:eastAsia="PingFang SC"/>
            <w:color w:val="2E74B5"/>
            <w:u w:val="single"/>
            <w:sz w:val="19"/>
            <w:szCs w:val="19"/>
          </w:rPr>
          <w:t>https://arxiv.org/abs/2505.13176</w:t>
        </w:r>
      </w:hyperlink>
    </w:p>
    <w:p>
      <w:pPr>
        <w:spacing w:after="80" w:line="264" w:lineRule="auto"/>
        <w:ind w:left="360" w:hanging="360"/>
      </w:pPr>
      <w:r>
        <w:rPr>
          <w:rFonts w:ascii="Calibri" w:hAnsi="Calibri" w:eastAsia="PingFang SC"/>
          <w:sz w:val="19"/>
        </w:rPr>
        <w:t xml:space="preserve">[39] Zhang et al. </w:t>
      </w:r>
      <w:r>
        <w:rPr>
          <w:rFonts w:ascii="Calibri" w:hAnsi="Calibri" w:eastAsia="PingFang SC"/>
          <w:i/>
          <w:sz w:val="19"/>
        </w:rPr>
        <w:t>PRIME: Large Language Model Personalization with Cognitive Dual-Memory and Personalized Thought Process</w:t>
      </w:r>
      <w:r>
        <w:rPr>
          <w:rFonts w:ascii="Calibri" w:hAnsi="Calibri" w:eastAsia="PingFang SC"/>
          <w:sz w:val="19"/>
        </w:rPr>
        <w:t xml:space="preserve">. EMNLP, 2025. </w:t>
      </w:r>
      <w:hyperlink r:id="rId63">
        <w:r>
          <w:rPr>
            <w:rFonts w:ascii="Calibri" w:hAnsi="Calibri" w:eastAsia="PingFang SC"/>
            <w:color w:val="2E74B5"/>
            <w:u w:val="single"/>
            <w:sz w:val="19"/>
            <w:szCs w:val="19"/>
          </w:rPr>
          <w:t>https://aclanthology.org/2025.emnlp-main.1711/</w:t>
        </w:r>
      </w:hyperlink>
    </w:p>
    <w:p>
      <w:pPr>
        <w:spacing w:after="80" w:line="264" w:lineRule="auto"/>
        <w:ind w:left="360" w:hanging="360"/>
      </w:pPr>
      <w:r>
        <w:rPr>
          <w:rFonts w:ascii="Calibri" w:hAnsi="Calibri" w:eastAsia="PingFang SC"/>
          <w:sz w:val="19"/>
        </w:rPr>
        <w:t xml:space="preserve">[40] Li et al. </w:t>
      </w:r>
      <w:r>
        <w:rPr>
          <w:rFonts w:ascii="Calibri" w:hAnsi="Calibri" w:eastAsia="PingFang SC"/>
          <w:i/>
          <w:sz w:val="19"/>
        </w:rPr>
        <w:t>Personalized Deep Research: A User-Centric Framework, Dataset, and Hybrid Evaluation for Knowledge Discovery</w:t>
      </w:r>
      <w:r>
        <w:rPr>
          <w:rFonts w:ascii="Calibri" w:hAnsi="Calibri" w:eastAsia="PingFang SC"/>
          <w:sz w:val="19"/>
        </w:rPr>
        <w:t xml:space="preserve">. arXiv:2605.10530, 2026. </w:t>
      </w:r>
      <w:hyperlink r:id="rId26">
        <w:r>
          <w:rPr>
            <w:rFonts w:ascii="Calibri" w:hAnsi="Calibri" w:eastAsia="PingFang SC"/>
            <w:color w:val="2E74B5"/>
            <w:u w:val="single"/>
            <w:sz w:val="19"/>
            <w:szCs w:val="19"/>
          </w:rPr>
          <w:t>https://arxiv.org/abs/2605.10530</w:t>
        </w:r>
      </w:hyperlink>
    </w:p>
    <w:p>
      <w:pPr>
        <w:spacing w:after="80" w:line="264" w:lineRule="auto"/>
        <w:ind w:left="360" w:hanging="360"/>
      </w:pPr>
      <w:r>
        <w:rPr>
          <w:rFonts w:ascii="Calibri" w:hAnsi="Calibri" w:eastAsia="PingFang SC"/>
          <w:sz w:val="19"/>
        </w:rPr>
        <w:t xml:space="preserve">[41] Balepur et al. </w:t>
      </w:r>
      <w:r>
        <w:rPr>
          <w:rFonts w:ascii="Calibri" w:hAnsi="Calibri" w:eastAsia="PingFang SC"/>
          <w:i/>
          <w:sz w:val="19"/>
        </w:rPr>
        <w:t>Language Models Don't Know What You Want: Evaluating Personalization in Deep Research Needs Real Users</w:t>
      </w:r>
      <w:r>
        <w:rPr>
          <w:rFonts w:ascii="Calibri" w:hAnsi="Calibri" w:eastAsia="PingFang SC"/>
          <w:sz w:val="19"/>
        </w:rPr>
        <w:t xml:space="preserve">. ACL, 2026. </w:t>
      </w:r>
      <w:hyperlink r:id="rId27">
        <w:r>
          <w:rPr>
            <w:rFonts w:ascii="Calibri" w:hAnsi="Calibri" w:eastAsia="PingFang SC"/>
            <w:color w:val="2E74B5"/>
            <w:u w:val="single"/>
            <w:sz w:val="19"/>
            <w:szCs w:val="19"/>
          </w:rPr>
          <w:t>https://aclanthology.org/2026.acl-long.723/</w:t>
        </w:r>
      </w:hyperlink>
    </w:p>
    <w:p>
      <w:pPr>
        <w:spacing w:after="80" w:line="264" w:lineRule="auto"/>
        <w:ind w:left="360" w:hanging="360"/>
      </w:pPr>
      <w:r>
        <w:rPr>
          <w:rFonts w:ascii="Calibri" w:hAnsi="Calibri" w:eastAsia="PingFang SC"/>
          <w:sz w:val="19"/>
        </w:rPr>
        <w:t xml:space="preserve">[42] Garbacea et al. </w:t>
      </w:r>
      <w:r>
        <w:rPr>
          <w:rFonts w:ascii="Calibri" w:hAnsi="Calibri" w:eastAsia="PingFang SC"/>
          <w:i/>
          <w:sz w:val="19"/>
        </w:rPr>
        <w:t>Personalized Benchmarking: Evaluating LLMs by Individual Preferences</w:t>
      </w:r>
      <w:r>
        <w:rPr>
          <w:rFonts w:ascii="Calibri" w:hAnsi="Calibri" w:eastAsia="PingFang SC"/>
          <w:sz w:val="19"/>
        </w:rPr>
        <w:t xml:space="preserve">. Findings of ACL, 2026. </w:t>
      </w:r>
      <w:hyperlink r:id="rId65">
        <w:r>
          <w:rPr>
            <w:rFonts w:ascii="Calibri" w:hAnsi="Calibri" w:eastAsia="PingFang SC"/>
            <w:color w:val="2E74B5"/>
            <w:u w:val="single"/>
            <w:sz w:val="19"/>
            <w:szCs w:val="19"/>
          </w:rPr>
          <w:t>https://aclanthology.org/2026.findings-acl.31/</w:t>
        </w:r>
      </w:hyperlink>
    </w:p>
    <w:p>
      <w:pPr>
        <w:spacing w:after="80" w:line="264" w:lineRule="auto"/>
        <w:ind w:left="360" w:hanging="360"/>
      </w:pPr>
      <w:r>
        <w:rPr>
          <w:rFonts w:ascii="Calibri" w:hAnsi="Calibri" w:eastAsia="PingFang SC"/>
          <w:sz w:val="19"/>
        </w:rPr>
        <w:t xml:space="preserve">[43] Feng et al. </w:t>
      </w:r>
      <w:r>
        <w:rPr>
          <w:rFonts w:ascii="Calibri" w:hAnsi="Calibri" w:eastAsia="PingFang SC"/>
          <w:i/>
          <w:sz w:val="19"/>
        </w:rPr>
        <w:t>How Does Personalized Memory Shape LLM Behavior? Benchmarking Rational Preference Utilization in Personalized Assistants</w:t>
      </w:r>
      <w:r>
        <w:rPr>
          <w:rFonts w:ascii="Calibri" w:hAnsi="Calibri" w:eastAsia="PingFang SC"/>
          <w:sz w:val="19"/>
        </w:rPr>
        <w:t xml:space="preserve">. arXiv:2601.16621, 2026. </w:t>
      </w:r>
      <w:hyperlink r:id="rId20">
        <w:r>
          <w:rPr>
            <w:rFonts w:ascii="Calibri" w:hAnsi="Calibri" w:eastAsia="PingFang SC"/>
            <w:color w:val="2E74B5"/>
            <w:u w:val="single"/>
            <w:sz w:val="19"/>
            <w:szCs w:val="19"/>
          </w:rPr>
          <w:t>https://arxiv.org/abs/2601.16621</w:t>
        </w:r>
      </w:hyperlink>
    </w:p>
    <w:p>
      <w:pPr>
        <w:spacing w:after="80" w:line="264" w:lineRule="auto"/>
        <w:ind w:left="360" w:hanging="360"/>
      </w:pPr>
      <w:r>
        <w:rPr>
          <w:rFonts w:ascii="Calibri" w:hAnsi="Calibri" w:eastAsia="PingFang SC"/>
          <w:sz w:val="19"/>
        </w:rPr>
        <w:t xml:space="preserve">[44] Liang et al. </w:t>
      </w:r>
      <w:r>
        <w:rPr>
          <w:rFonts w:ascii="Calibri" w:hAnsi="Calibri" w:eastAsia="PingFang SC"/>
          <w:i/>
          <w:sz w:val="19"/>
        </w:rPr>
        <w:t>Learning Personalized Agents from Human Feedback</w:t>
      </w:r>
      <w:r>
        <w:rPr>
          <w:rFonts w:ascii="Calibri" w:hAnsi="Calibri" w:eastAsia="PingFang SC"/>
          <w:sz w:val="19"/>
        </w:rPr>
        <w:t xml:space="preserve">. arXiv:2602.16173, 2026. </w:t>
      </w:r>
      <w:hyperlink r:id="rId21">
        <w:r>
          <w:rPr>
            <w:rFonts w:ascii="Calibri" w:hAnsi="Calibri" w:eastAsia="PingFang SC"/>
            <w:color w:val="2E74B5"/>
            <w:u w:val="single"/>
            <w:sz w:val="19"/>
            <w:szCs w:val="19"/>
          </w:rPr>
          <w:t>https://arxiv.org/abs/2602.16173</w:t>
        </w:r>
      </w:hyperlink>
    </w:p>
    <w:p>
      <w:pPr>
        <w:spacing w:after="80" w:line="264" w:lineRule="auto"/>
        <w:ind w:left="360" w:hanging="360"/>
      </w:pPr>
      <w:r>
        <w:rPr>
          <w:rFonts w:ascii="Calibri" w:hAnsi="Calibri" w:eastAsia="PingFang SC"/>
          <w:sz w:val="19"/>
        </w:rPr>
        <w:t xml:space="preserve">[45] In et al. </w:t>
      </w:r>
      <w:r>
        <w:rPr>
          <w:rFonts w:ascii="Calibri" w:hAnsi="Calibri" w:eastAsia="PingFang SC"/>
          <w:i/>
          <w:sz w:val="19"/>
        </w:rPr>
        <w:t>Personalize-then-Store: Benchmarking and Learning Personalized Memory for Long-horizon Agents</w:t>
      </w:r>
      <w:r>
        <w:rPr>
          <w:rFonts w:ascii="Calibri" w:hAnsi="Calibri" w:eastAsia="PingFang SC"/>
          <w:sz w:val="19"/>
        </w:rPr>
        <w:t xml:space="preserve">. arXiv:2605.25535, 2026. </w:t>
      </w:r>
      <w:hyperlink r:id="rId22">
        <w:r>
          <w:rPr>
            <w:rFonts w:ascii="Calibri" w:hAnsi="Calibri" w:eastAsia="PingFang SC"/>
            <w:color w:val="2E74B5"/>
            <w:u w:val="single"/>
            <w:sz w:val="19"/>
            <w:szCs w:val="19"/>
          </w:rPr>
          <w:t>https://arxiv.org/abs/2605.25535</w:t>
        </w:r>
      </w:hyperlink>
    </w:p>
    <w:p>
      <w:pPr>
        <w:spacing w:after="80" w:line="264" w:lineRule="auto"/>
        <w:ind w:left="360" w:hanging="360"/>
      </w:pPr>
      <w:r>
        <w:rPr>
          <w:rFonts w:ascii="Calibri" w:hAnsi="Calibri" w:eastAsia="PingFang SC"/>
          <w:sz w:val="19"/>
        </w:rPr>
        <w:t xml:space="preserve">[46] Uddin et al. </w:t>
      </w:r>
      <w:r>
        <w:rPr>
          <w:rFonts w:ascii="Calibri" w:hAnsi="Calibri" w:eastAsia="PingFang SC"/>
          <w:i/>
          <w:sz w:val="19"/>
        </w:rPr>
        <w:t>From Recall to Forgetting: Benchmarking Long-Term Memory for Personalized Agents</w:t>
      </w:r>
      <w:r>
        <w:rPr>
          <w:rFonts w:ascii="Calibri" w:hAnsi="Calibri" w:eastAsia="PingFang SC"/>
          <w:sz w:val="19"/>
        </w:rPr>
        <w:t xml:space="preserve">. Findings of ACL, 2026. </w:t>
      </w:r>
      <w:hyperlink r:id="rId23">
        <w:r>
          <w:rPr>
            <w:rFonts w:ascii="Calibri" w:hAnsi="Calibri" w:eastAsia="PingFang SC"/>
            <w:color w:val="2E74B5"/>
            <w:u w:val="single"/>
            <w:sz w:val="19"/>
            <w:szCs w:val="19"/>
          </w:rPr>
          <w:t>https://aclanthology.org/2026.findings-acl.1337/</w:t>
        </w:r>
      </w:hyperlink>
    </w:p>
    <w:p>
      <w:pPr>
        <w:spacing w:after="80" w:line="264" w:lineRule="auto"/>
        <w:ind w:left="360" w:hanging="360"/>
      </w:pPr>
      <w:r>
        <w:rPr>
          <w:rFonts w:ascii="Calibri" w:hAnsi="Calibri" w:eastAsia="PingFang SC"/>
          <w:sz w:val="19"/>
        </w:rPr>
        <w:t xml:space="preserve">[47] Hu et al. </w:t>
      </w:r>
      <w:r>
        <w:rPr>
          <w:rFonts w:ascii="Calibri" w:hAnsi="Calibri" w:eastAsia="PingFang SC"/>
          <w:i/>
          <w:sz w:val="19"/>
        </w:rPr>
        <w:t>CloneMem: Benchmarking Long-Term Memory for AI Clones</w:t>
      </w:r>
      <w:r>
        <w:rPr>
          <w:rFonts w:ascii="Calibri" w:hAnsi="Calibri" w:eastAsia="PingFang SC"/>
          <w:sz w:val="19"/>
        </w:rPr>
        <w:t xml:space="preserve">. ACL, 2026. </w:t>
      </w:r>
      <w:hyperlink r:id="rId24">
        <w:r>
          <w:rPr>
            <w:rFonts w:ascii="Calibri" w:hAnsi="Calibri" w:eastAsia="PingFang SC"/>
            <w:color w:val="2E74B5"/>
            <w:u w:val="single"/>
            <w:sz w:val="19"/>
            <w:szCs w:val="19"/>
          </w:rPr>
          <w:t>https://aclanthology.org/2026.acl-long.1549/</w:t>
        </w:r>
      </w:hyperlink>
    </w:p>
    <w:p>
      <w:pPr>
        <w:spacing w:after="80" w:line="264" w:lineRule="auto"/>
        <w:ind w:left="360" w:hanging="360"/>
      </w:pPr>
      <w:r>
        <w:rPr>
          <w:rFonts w:ascii="Calibri" w:hAnsi="Calibri" w:eastAsia="PingFang SC"/>
          <w:sz w:val="19"/>
        </w:rPr>
        <w:t xml:space="preserve">[48] Shen et al. </w:t>
      </w:r>
      <w:r>
        <w:rPr>
          <w:rFonts w:ascii="Calibri" w:hAnsi="Calibri" w:eastAsia="PingFang SC"/>
          <w:i/>
          <w:sz w:val="19"/>
        </w:rPr>
        <w:t>Mem2ActBench: A Benchmark for Evaluating Long-Term Memory Utilization in Task-Oriented Autonomous Agents</w:t>
      </w:r>
      <w:r>
        <w:rPr>
          <w:rFonts w:ascii="Calibri" w:hAnsi="Calibri" w:eastAsia="PingFang SC"/>
          <w:sz w:val="19"/>
        </w:rPr>
        <w:t xml:space="preserve">. ACL, 2026. </w:t>
      </w:r>
      <w:hyperlink r:id="rId17">
        <w:r>
          <w:rPr>
            <w:rFonts w:ascii="Calibri" w:hAnsi="Calibri" w:eastAsia="PingFang SC"/>
            <w:color w:val="2E74B5"/>
            <w:u w:val="single"/>
            <w:sz w:val="19"/>
            <w:szCs w:val="19"/>
          </w:rPr>
          <w:t>https://aclanthology.org/2026.acl-long.370/</w:t>
        </w:r>
      </w:hyperlink>
    </w:p>
    <w:p>
      <w:pPr>
        <w:spacing w:after="80" w:line="264" w:lineRule="auto"/>
        <w:ind w:left="360" w:hanging="360"/>
      </w:pPr>
      <w:r>
        <w:rPr>
          <w:rFonts w:ascii="Calibri" w:hAnsi="Calibri" w:eastAsia="PingFang SC"/>
          <w:sz w:val="19"/>
        </w:rPr>
        <w:t xml:space="preserve">[49] Chen et al. </w:t>
      </w:r>
      <w:r>
        <w:rPr>
          <w:rFonts w:ascii="Calibri" w:hAnsi="Calibri" w:eastAsia="PingFang SC"/>
          <w:i/>
          <w:sz w:val="19"/>
        </w:rPr>
        <w:t>Towards Preference Following in Tool Calling Language Agents</w:t>
      </w:r>
      <w:r>
        <w:rPr>
          <w:rFonts w:ascii="Calibri" w:hAnsi="Calibri" w:eastAsia="PingFang SC"/>
          <w:sz w:val="19"/>
        </w:rPr>
        <w:t xml:space="preserve">. Findings of ACL, 2026. </w:t>
      </w:r>
      <w:hyperlink r:id="rId16">
        <w:r>
          <w:rPr>
            <w:rFonts w:ascii="Calibri" w:hAnsi="Calibri" w:eastAsia="PingFang SC"/>
            <w:color w:val="2E74B5"/>
            <w:u w:val="single"/>
            <w:sz w:val="19"/>
            <w:szCs w:val="19"/>
          </w:rPr>
          <w:t>https://aclanthology.org/2026.findings-acl.1676/</w:t>
        </w:r>
      </w:hyperlink>
    </w:p>
    <w:p>
      <w:pPr>
        <w:spacing w:after="80" w:line="264" w:lineRule="auto"/>
        <w:ind w:left="360" w:hanging="360"/>
      </w:pPr>
      <w:r>
        <w:rPr>
          <w:rFonts w:ascii="Calibri" w:hAnsi="Calibri" w:eastAsia="PingFang SC"/>
          <w:sz w:val="19"/>
        </w:rPr>
        <w:t xml:space="preserve">[50] Lyu et al. </w:t>
      </w:r>
      <w:r>
        <w:rPr>
          <w:rFonts w:ascii="Calibri" w:hAnsi="Calibri" w:eastAsia="PingFang SC"/>
          <w:i/>
          <w:sz w:val="19"/>
        </w:rPr>
        <w:t>PersonalAlign: Hierarchical Implicit Intent Alignment for Personalized GUI Agent with Long-Term User-Centric Records</w:t>
      </w:r>
      <w:r>
        <w:rPr>
          <w:rFonts w:ascii="Calibri" w:hAnsi="Calibri" w:eastAsia="PingFang SC"/>
          <w:sz w:val="19"/>
        </w:rPr>
        <w:t xml:space="preserve">. ACL, 2026. </w:t>
      </w:r>
      <w:hyperlink r:id="rId18">
        <w:r>
          <w:rPr>
            <w:rFonts w:ascii="Calibri" w:hAnsi="Calibri" w:eastAsia="PingFang SC"/>
            <w:color w:val="2E74B5"/>
            <w:u w:val="single"/>
            <w:sz w:val="19"/>
            <w:szCs w:val="19"/>
          </w:rPr>
          <w:t>https://aclanthology.org/2026.acl-long.1669/</w:t>
        </w:r>
      </w:hyperlink>
    </w:p>
    <w:p>
      <w:pPr>
        <w:spacing w:after="80" w:line="264" w:lineRule="auto"/>
        <w:ind w:left="360" w:hanging="360"/>
      </w:pPr>
      <w:r>
        <w:rPr>
          <w:rFonts w:ascii="Calibri" w:hAnsi="Calibri" w:eastAsia="PingFang SC"/>
          <w:sz w:val="19"/>
        </w:rPr>
        <w:t xml:space="preserve">[51] Wang et al. </w:t>
      </w:r>
      <w:r>
        <w:rPr>
          <w:rFonts w:ascii="Calibri" w:hAnsi="Calibri" w:eastAsia="PingFang SC"/>
          <w:i/>
          <w:sz w:val="19"/>
        </w:rPr>
        <w:t>OPeRA: A Dataset of Observation, Persona, Rationale, and Action for Evaluating LLMs on Human Online Shopping Behavior Simulation</w:t>
      </w:r>
      <w:r>
        <w:rPr>
          <w:rFonts w:ascii="Calibri" w:hAnsi="Calibri" w:eastAsia="PingFang SC"/>
          <w:sz w:val="19"/>
        </w:rPr>
        <w:t xml:space="preserve">. ACL, 2026. </w:t>
      </w:r>
      <w:hyperlink r:id="rId62">
        <w:r>
          <w:rPr>
            <w:rFonts w:ascii="Calibri" w:hAnsi="Calibri" w:eastAsia="PingFang SC"/>
            <w:color w:val="2E74B5"/>
            <w:u w:val="single"/>
            <w:sz w:val="19"/>
            <w:szCs w:val="19"/>
          </w:rPr>
          <w:t>https://aclanthology.org/2026.acl-long.2033/</w:t>
        </w:r>
      </w:hyperlink>
    </w:p>
    <w:p>
      <w:pPr>
        <w:spacing w:after="80" w:line="264" w:lineRule="auto"/>
        <w:ind w:left="360" w:hanging="360"/>
      </w:pPr>
      <w:r>
        <w:rPr>
          <w:rFonts w:ascii="Calibri" w:hAnsi="Calibri" w:eastAsia="PingFang SC"/>
          <w:sz w:val="19"/>
        </w:rPr>
        <w:t xml:space="preserve">[52] Guo et al. </w:t>
      </w:r>
      <w:r>
        <w:rPr>
          <w:rFonts w:ascii="Calibri" w:hAnsi="Calibri" w:eastAsia="PingFang SC"/>
          <w:i/>
          <w:sz w:val="19"/>
        </w:rPr>
        <w:t>When Personalization Legitimizes Risks: Uncovering Safety Vulnerabilities in Personalized Dialogue Agents</w:t>
      </w:r>
      <w:r>
        <w:rPr>
          <w:rFonts w:ascii="Calibri" w:hAnsi="Calibri" w:eastAsia="PingFang SC"/>
          <w:sz w:val="19"/>
        </w:rPr>
        <w:t xml:space="preserve">. ACL, 2026. </w:t>
      </w:r>
      <w:hyperlink r:id="rId64">
        <w:r>
          <w:rPr>
            <w:rFonts w:ascii="Calibri" w:hAnsi="Calibri" w:eastAsia="PingFang SC"/>
            <w:color w:val="2E74B5"/>
            <w:u w:val="single"/>
            <w:sz w:val="19"/>
            <w:szCs w:val="19"/>
          </w:rPr>
          <w:t>https://aclanthology.org/2026.acl-long.1260/</w:t>
        </w:r>
      </w:hyperlink>
    </w:p>
    <w:p>
      <w:pPr>
        <w:spacing w:after="80" w:line="264" w:lineRule="auto"/>
        <w:ind w:left="360" w:hanging="360"/>
      </w:pPr>
      <w:r>
        <w:rPr>
          <w:rFonts w:ascii="Calibri" w:hAnsi="Calibri" w:eastAsia="PingFang SC"/>
          <w:sz w:val="19"/>
        </w:rPr>
        <w:t xml:space="preserve">[53] Weeber et al. </w:t>
      </w:r>
      <w:r>
        <w:rPr>
          <w:rFonts w:ascii="Calibri" w:hAnsi="Calibri" w:eastAsia="PingFang SC"/>
          <w:i/>
          <w:sz w:val="19"/>
        </w:rPr>
        <w:t>One Persona, Many Cues, Different Results: How Sociodemographic Cues Impact LLM Personalization</w:t>
      </w:r>
      <w:r>
        <w:rPr>
          <w:rFonts w:ascii="Calibri" w:hAnsi="Calibri" w:eastAsia="PingFang SC"/>
          <w:sz w:val="19"/>
        </w:rPr>
        <w:t xml:space="preserve">. ACL, 2026. </w:t>
      </w:r>
      <w:hyperlink r:id="rId36">
        <w:r>
          <w:rPr>
            <w:rFonts w:ascii="Calibri" w:hAnsi="Calibri" w:eastAsia="PingFang SC"/>
            <w:color w:val="2E74B5"/>
            <w:u w:val="single"/>
            <w:sz w:val="19"/>
            <w:szCs w:val="19"/>
          </w:rPr>
          <w:t>https://aclanthology.org/2026.acl-long.2079/</w:t>
        </w:r>
      </w:hyperlink>
    </w:p>
    <w:p>
      <w:pPr>
        <w:spacing w:after="80" w:line="264" w:lineRule="auto"/>
        <w:ind w:left="360" w:hanging="360"/>
      </w:pPr>
      <w:r>
        <w:rPr>
          <w:rFonts w:ascii="Calibri" w:hAnsi="Calibri" w:eastAsia="PingFang SC"/>
          <w:sz w:val="19"/>
        </w:rPr>
        <w:t xml:space="preserve">[54] Qiu et al. </w:t>
      </w:r>
      <w:r>
        <w:rPr>
          <w:rFonts w:ascii="Calibri" w:hAnsi="Calibri" w:eastAsia="PingFang SC"/>
          <w:i/>
          <w:sz w:val="19"/>
        </w:rPr>
        <w:t>Preference-Aware Rubric Learning for Personalized Evaluation</w:t>
      </w:r>
      <w:r>
        <w:rPr>
          <w:rFonts w:ascii="Calibri" w:hAnsi="Calibri" w:eastAsia="PingFang SC"/>
          <w:sz w:val="19"/>
        </w:rPr>
        <w:t xml:space="preserve">. arXiv:2605.31545, 2026. </w:t>
      </w:r>
      <w:hyperlink r:id="rId37">
        <w:r>
          <w:rPr>
            <w:rFonts w:ascii="Calibri" w:hAnsi="Calibri" w:eastAsia="PingFang SC"/>
            <w:color w:val="2E74B5"/>
            <w:u w:val="single"/>
            <w:sz w:val="19"/>
            <w:szCs w:val="19"/>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