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v0.23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交叉评分检验结果特异性，再用语义等价 cue 检查结论是否依赖表面表达。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个性化 agent 研究已经从用户历史建模扩展到任务对话、工具调用、长程记忆和 Deep Research；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已能够评价 task–persona 条件下的 absolute adaptation，但其最佳 judge 的人类 pairwise agreement 仅 0.43，校准只覆盖 15 个 query 与两个 agent。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DeepAlign 的方法增量不是 rubric 更懂 persona，而是转向 </w:t>
      </w:r>
      <w:r>
        <w:rPr>
          <w:rFonts w:ascii="Calibri" w:hAnsi="Calibri" w:eastAsia="PingFang SC"/>
          <w:b/>
        </w:rPr>
        <w:t>counterfactual personalization effect identification</w:t>
      </w:r>
      <w:r>
        <w:rPr>
          <w:rFonts w:ascii="Calibri" w:hAnsi="Calibri" w:eastAsia="PingFang SC"/>
        </w:rPr>
        <w:t>；JudgeBench 则解决新 estimand 的测量可靠性。本项目固定任务与证据，交换两个都合理的目标用户，并用预冻结契约约束有效变化。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现有文献先解决了“研究结果一般好不好”。LiveResearchBench、PaperBench 等评价任务完成、事实、引用和报告完整性，OpenCompass 与 EvalScope 提供运行基础设施。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这些指标是个性化不能牺牲的共同质量底线，但它们通常不回答“同一份证据对哪个用户更有用”。</w:t>
      </w:r>
    </w:p>
    <w:p>
      <w:r>
        <w:rPr>
          <w:rFonts w:ascii="Calibri" w:hAnsi="Calibri" w:eastAsia="PingFang SC"/>
        </w:rPr>
        <w:t>随后，研究开始让评价函数随用户改变。LaMP 从用户历史评测个性化生成，PersonaLens 把丰富画像和历史放进任务型对话，PersonaMem 要求模型跟踪会变化的用户画像；</w:t>
      </w:r>
      <w:hyperlink r:id="rId11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[26]</w:t>
        </w:r>
      </w:hyperlink>
      <w:r>
        <w:rPr>
          <w:rFonts w:ascii="Calibri" w:hAnsi="Calibri" w:eastAsia="PingFang SC"/>
        </w:rPr>
        <w:t xml:space="preserve"> Setoka、PersonaTrail 和 APeB 又把用户信号扩展到异构记录、浏览轨迹和行为日志。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r>
        <w:rPr>
          <w:rFonts w:ascii="Calibri" w:hAnsi="Calibri" w:eastAsia="PingFang SC"/>
        </w:rPr>
        <w:t xml:space="preserve"> 因此，“用户理解或历史利用无人评测”已经不是可辩护的起点；这些工作主要仍以响应选择、记忆问答或单域意图为终点。</w:t>
      </w:r>
    </w:p>
    <w:p>
      <w:r>
        <w:rPr>
          <w:rFonts w:ascii="Calibri" w:hAnsi="Calibri" w:eastAsia="PingFang SC"/>
        </w:rPr>
        <w:t>个性化也已经从“说什么”进入“做什么”。ETAPP 用人工关键点评测个性化与主动工具调用，Mem2ActBench 检查长期记忆能否落实到工具参数；</w:t>
      </w:r>
      <w:hyperlink r:id="rId13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r>
        <w:rPr>
          <w:rFonts w:ascii="Calibri" w:hAnsi="Calibri" w:eastAsia="PingFang SC"/>
        </w:rPr>
        <w:t xml:space="preserve"> TARS 测代码解释的人类效用，PAHF 用澄清、记忆和反馈适应偏好漂移，PASB 与 PS-Bench 分别暴露持久写入和良性个人记忆带来的安全风险。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[29]</w:t>
        </w:r>
      </w:hyperlink>
      <w:hyperlink r:id="rId28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r>
        <w:rPr>
          <w:rFonts w:ascii="Calibri" w:hAnsi="Calibri" w:eastAsia="PingFang SC"/>
        </w:rPr>
        <w:t xml:space="preserve"> 这意味着 DeepAlign-Bench 不能把“行动、更新或风险”本身当作首创；现有终点多是离散工具/GUI 行动、分类、推荐或安全失败，还没有统一到多证据的开放式 DR 交付物。</w:t>
      </w:r>
    </w:p>
    <w:p>
      <w:r>
        <w:rPr>
          <w:rFonts w:ascii="Calibri" w:hAnsi="Calibri" w:eastAsia="PingFang SC"/>
        </w:rPr>
        <w:t>最后，PDR-Bench 和另一项 PDR 工作已经把 persona 或动态上下文接入 Deep Research。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PDR 的 P-Score 按 task/persona 生成权重与子标准，能回答“给定用户，这份报告是否适合”；DeepAlign 改问“固定 task/evidence/resources，只换用户后，两份交付物是否各自更适合对应用户”，并以 must-change / must-hold / must-not 排除方向错误、共同事实破坏和过度推断。PDR 的测量边界也需保留：15-query/2-agent 校准中最佳 PCA=0.43；两层动态 rubric 会引入 criterion variance；human panel 不等于目标用户效度；事实分依赖 claim 抽取—去重—抓取—支持判断链；P/Q/R 算术平均还可能补偿关键事实失败。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这些支持独立 JudgeBench 和 hard gate，但不是 estimand 创新的替代。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本项目不声称首先研究 personalization、history、tool use、persistent state 或 temporal intervention；它解决的是这些方向在广义 DR 最终交付物上的识别缺口：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如何从 absolute adaptation evaluation 转向 counterfactual personalization effect identification，检验只改变目标用户后交付物是否发生方向正确的变化；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r>
        <w:rPr>
          <w:rFonts w:ascii="Calibri" w:hAnsi="Calibri" w:eastAsia="PingFang SC"/>
        </w:rPr>
        <w:t>可辩护的核心主张是：在广义 Deep Research 的多类最终交付物上，用 matched/swapped 用户交换和预冻结 must-change/must-hold/must-not 真值识别可观察的 counterfactual personalization effect。异构用户信号、长程干预、模块化 rubric 和独立 JudgeBench 用于检验这一效应的稳健性、测量效度与外部效度，不与核心创新并列。该协议不证明模型内部“真正理解用户”；若 matched/swapped 人评不稳定，论文将收缩为 absolute adaptation 的扩展研究。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RQ3：长程保持与更新。</w:t>
      </w:r>
      <w:r>
        <w:rPr>
          <w:rFonts w:ascii="Calibri" w:hAnsi="Calibri" w:eastAsia="PingFang SC"/>
        </w:rPr>
        <w:t xml:space="preserve"> 上下文稀释、信息冲突、agent 交接和用户状态更新如何影响用户适配？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交付物，且该差异在共同质量门槛和目标用户盲评下成立。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同一潜在 user-state 换成结构化 persona、语义等价自然历史或去显眼关键词改写时，核心 must-change 决策保持；渠道间利用率仍可能不同。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长上下文干扰使用户特异适配比共同任务质量下降更快；动态状态变化后旧状态残留率随压力增加。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类型在忽略约束、信息冲突、过度个性化、保持和更新失败上存在可重复差异。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30"/>
          <w:footerReference w:type="default" r:id="rId31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需求剖面”组织。每个 family 依次完成：真实需求 seed → 冻结 task/evidence/deliverable core → 标注 stratum/intent/demand → 构造可调难度旋钮 → 配对 user states → 冻结差异契约 → 目标用户/专家 pilot。24 个 family 中 18 个覆盖 3×6 主单元，6 个复测关键单元；若只能产生文风差异或 matched/swapped 不稳定则删除。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固定任务、证据和资源，构造两个都自然且对结果有实质影响的用户。Persona 不先写 biography，而按“真实 source record → task-relevant axes → 共享 invariant core → 只改 2–3 个决策相关字段 → fact-to-contract map → 多 signal views → 负对照 → 人类验证”生成。每条事实记录来源、时间、可信度、相关性、敏感度和披露权限；structured persona、自然历史与澄清回答都由同一 ledger 编译。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Harness：</w:t>
      </w:r>
      <w:r>
        <w:rPr>
          <w:rFonts w:ascii="Calibri" w:hAnsi="Calibri" w:eastAsia="PingFang SC"/>
        </w:rPr>
        <w:t xml:space="preserve"> 只读证据快照、统一工具/预算、paired seed，形成因果主榜；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Product/Web：</w:t>
      </w:r>
      <w:r>
        <w:rPr>
          <w:rFonts w:ascii="Calibri" w:hAnsi="Calibri" w:eastAsia="PingFang SC"/>
        </w:rPr>
        <w:t xml:space="preserve"> 使用原生商业/开源能力，记录版本、日期、地区、工具和 URL 快照，单独形成产品榜；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Sandbox：</w:t>
      </w:r>
      <w:r>
        <w:rPr>
          <w:rFonts w:ascii="Calibri" w:hAnsi="Calibri" w:eastAsia="PingFang SC"/>
        </w:rPr>
        <w:t xml:space="preserve"> 事件脚本在固定 checkpoint 注入澄清、冲突、handoff 和动态更新，共享前缀分叉形成压力与机制榜。</w:t>
      </w:r>
    </w:p>
    <w:p>
      <w:r>
        <w:rPr>
          <w:rFonts w:ascii="Calibri" w:hAnsi="Calibri" w:eastAsia="PingFang SC"/>
        </w:rPr>
        <w:t>三者是运行环境，不是 agent 类型。核心模式 M1 商业产品、M2 controlled harness、M3 开源 DRA；code、multi-agent、memory-enhanced 只在适用 anchor 上做架构 probe。统一 adapter 至少实现 reset、provide_signal、run_until、inject_event、export_artifact 和 trace-level 声明。</w:t>
      </w:r>
    </w:p>
    <w:p>
      <w:r>
        <w:rPr>
          <w:rFonts w:ascii="Calibri" w:hAnsi="Calibri" w:eastAsia="PingFang SC"/>
        </w:rPr>
        <w:t xml:space="preserve">8 个 anchor 覆盖日常决策、学习职业、金融信息、健康信息、企业采购/合规、软件生产、学术前沿和政策传播。每个先建 clean family，再按 </w:t>
      </w:r>
      <w:r>
        <w:rPr>
          <w:rFonts w:ascii="Courier New" w:hAnsi="Courier New" w:eastAsia="PingFang SC"/>
          <w:color w:val="6A3E00"/>
          <w:sz w:val="20"/>
        </w:rPr>
        <w:t>S0 clean → S1 单轻扰动 → S2 单强扰动 → S3 两个正交扰动</w:t>
      </w:r>
      <w:r>
        <w:rPr>
          <w:rFonts w:ascii="Calibri" w:hAnsi="Calibri" w:eastAsia="PingFang SC"/>
        </w:rPr>
        <w:t xml:space="preserve"> 运行。difficulty 用 evidence、signal、horizon、orchestration、permission、counterfactual subtlety 六维 stress vector 表示；risk、failure mode 与强度分开，不求和成伪精确难度分。</w:t>
      </w:r>
    </w:p>
    <w:p>
      <w:r>
        <w:rPr>
          <w:rFonts w:ascii="Calibri" w:hAnsi="Calibri" w:eastAsia="PingFang SC"/>
        </w:rPr>
        <w:t>所有 anchor 运行 clean、persona swap 和 irrelevant-signal；其余 failure mode 用平衡不完全区组分配，每类至少落到两个不同 anchor 且有同前缀 control。Anchor 只用于压力测试，不在失败后追加提醒或修复干预。结果分四层报 base task profile、signal board、S0–S3 stress curve 和 boundary/governance board，不把不同轨道、预算或不适用任务混成一个 overall。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dynamic-update 的受控压力分叉做机制诊断。如果该子集未完成，论文只报告最终交付物个性化，不声称已定位内部偏移机制。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Cue robustness：</w:t>
      </w:r>
      <w:r>
        <w:rPr>
          <w:rFonts w:ascii="Calibri" w:hAnsi="Calibri" w:eastAsia="PingFang SC"/>
        </w:rPr>
        <w:t xml:space="preserve"> 对语义等价 signal views 报告 worst-view CFA、Cue Gap、must-change/must-hold 一致率和 irrelevant-cue effect；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Update：</w:t>
      </w:r>
      <w:r>
        <w:rPr>
          <w:rFonts w:ascii="Calibri" w:hAnsi="Calibri" w:eastAsia="PingFang SC"/>
        </w:rPr>
        <w:t xml:space="preserve"> 长程干扰下的适配保留率、动态状态采用正确率与旧状态残留率。</w:t>
      </w:r>
    </w:p>
    <w:p>
      <w:r>
        <w:rPr>
          <w:rFonts w:ascii="Calibri" w:hAnsi="Calibri" w:eastAsia="PingFang SC"/>
        </w:rPr>
        <w:t>主榜先应用 TQ、FR 和关键隐私/安全门槛，再报告 PF-MP、CFA、cue robustness、Retention 和 Update。不将这些指标简单平均成允许相互补偿的总分。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must-hold，再处理分歧。人类真值分工固定：领域专家评事实、证据和共同质量，目标用户确认 must-change / must-not 并盲评 matched/swapped；纯合成 persona 只用于压力测试，不能单独支撑真实用户效用。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Rubric 必须通过 matched/swapped 区分力、cue-equivalence 稳健性、无关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 absolute adaptation evaluation 转向 counterfactual personalization effect identification：用 matched/swapped 交叉评分矩阵和三类预冻结契约识别方向正确、边界受控的用户特异变化；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个性化效应在共同质量门槛、目标用户盲评与语义等价信号检验下仍存在；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人评和可复现分析；所有 real-user-gold family 与不少于 8 个分层 family 收集目标用户 matched/swapped 盲评。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把结果效应误写成内部理解：</w:t>
      </w:r>
      <w:r>
        <w:rPr>
          <w:rFonts w:ascii="Calibri" w:hAnsi="Calibri" w:eastAsia="PingFang SC"/>
        </w:rPr>
        <w:t xml:space="preserve"> 主张限定为反事实特异性；加入语义等价表达、去关键词改写和无关属性不变性测试。</w:t>
      </w:r>
    </w:p>
    <w:p>
      <w:pPr>
        <w:pStyle w:val="ListBullet"/>
      </w:pPr>
      <w:r>
        <w:rPr>
          <w:rFonts w:ascii="Calibri" w:hAnsi="Calibri" w:eastAsia="PingFang SC"/>
          <w:b/>
        </w:rPr>
        <w:t>Judge 可靠性不足：</w:t>
      </w:r>
      <w:r>
        <w:rPr>
          <w:rFonts w:ascii="Calibri" w:hAnsi="Calibri" w:eastAsia="PingFang SC"/>
        </w:rPr>
        <w:t xml:space="preserve"> 明确引用 PDR 的 PCA=0.43 与窄校准边界，并运行位置交换、长度匹配、wrong-user swap、关键词/隐私诱饵和弃权测试；这是测量增量，核心方法增量仍是 estimand 转换。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Core，论文仅声称测量最终交付物的用户适配。只有当轨迹审计与受控压力分叉完成时，才报告保持与更新机制。本项目不声称首版覆盖所有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OpenCompass Team. </w:t>
      </w:r>
      <w:r>
        <w:rPr>
          <w:rFonts w:ascii="Calibri" w:hAnsi="Calibri" w:eastAsia="PingFang SC"/>
          <w:i/>
          <w:sz w:val="15"/>
        </w:rPr>
        <w:t>OpenCompass: A Universal Evaluation Platform for Large Language Models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EvalScope Documentation. </w:t>
      </w:r>
      <w:r>
        <w:rPr>
          <w:rFonts w:ascii="Calibri" w:hAnsi="Calibri" w:eastAsia="PingFang SC"/>
          <w:i/>
          <w:sz w:val="15"/>
        </w:rPr>
        <w:t>Getting Started and Evaluation Backends</w:t>
      </w:r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Zhang et al. </w:t>
      </w:r>
      <w:r>
        <w:rPr>
          <w:rFonts w:ascii="Calibri" w:hAnsi="Calibri" w:eastAsia="PingFang SC"/>
          <w:i/>
          <w:sz w:val="15"/>
        </w:rPr>
        <w:t>Agent-SafetyBench: Evaluating the Safety of LLM Agents</w:t>
      </w:r>
      <w:r>
        <w:rPr>
          <w:rFonts w:ascii="Calibri" w:hAnsi="Calibri" w:eastAsia="PingFang SC"/>
          <w:sz w:val="15"/>
        </w:rPr>
        <w:t>. arXiv:2412.14470,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>. arXiv:2509.25106,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Wang et al. </w:t>
      </w:r>
      <w:r>
        <w:rPr>
          <w:rFonts w:ascii="Calibri" w:hAnsi="Calibri" w:eastAsia="PingFang SC"/>
          <w:i/>
          <w:sz w:val="15"/>
        </w:rPr>
        <w:t>LiveResearchBench: A Live Benchmark for User-Centric Deep Research in the Wild</w:t>
      </w:r>
      <w:r>
        <w:rPr>
          <w:rFonts w:ascii="Calibri" w:hAnsi="Calibri" w:eastAsia="PingFang SC"/>
          <w:sz w:val="15"/>
        </w:rPr>
        <w:t>. arXiv:2510.14240,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Sharma et al. </w:t>
      </w:r>
      <w:r>
        <w:rPr>
          <w:rFonts w:ascii="Calibri" w:hAnsi="Calibri" w:eastAsia="PingFang SC"/>
          <w:i/>
          <w:sz w:val="15"/>
        </w:rPr>
        <w:t>ResearchRubrics: A Benchmark of Prompts and Rubrics for Evaluating Deep Research Agents</w:t>
      </w:r>
      <w:r>
        <w:rPr>
          <w:rFonts w:ascii="Calibri" w:hAnsi="Calibri" w:eastAsia="PingFang SC"/>
          <w:sz w:val="15"/>
        </w:rPr>
        <w:t>. arXiv:2511.07685,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Starace et al. </w:t>
      </w:r>
      <w:r>
        <w:rPr>
          <w:rFonts w:ascii="Calibri" w:hAnsi="Calibri" w:eastAsia="PingFang SC"/>
          <w:i/>
          <w:sz w:val="15"/>
        </w:rPr>
        <w:t>PaperBench: Evaluating AI's Ability to Replicate AI Research</w:t>
      </w:r>
      <w:r>
        <w:rPr>
          <w:rFonts w:ascii="Calibri" w:hAnsi="Calibri" w:eastAsia="PingFang SC"/>
          <w:sz w:val="15"/>
        </w:rPr>
        <w:t>. OpenAI,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Yoran et al. </w:t>
      </w:r>
      <w:r>
        <w:rPr>
          <w:rFonts w:ascii="Calibri" w:hAnsi="Calibri" w:eastAsia="PingFang SC"/>
          <w:i/>
          <w:sz w:val="15"/>
        </w:rPr>
        <w:t>AssistantBench: Can Web Agents Solve Realistic and Time-Consuming Tasks?</w:t>
      </w:r>
      <w:r>
        <w:rPr>
          <w:rFonts w:ascii="Calibri" w:hAnsi="Calibri" w:eastAsia="PingFang SC"/>
          <w:sz w:val="15"/>
        </w:rPr>
        <w:t xml:space="preserve"> arXiv:2407.15711,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[9] Java et al. </w:t>
      </w:r>
      <w:r>
        <w:rPr>
          <w:rFonts w:ascii="Calibri" w:hAnsi="Calibri" w:eastAsia="PingFang SC"/>
          <w:i/>
          <w:sz w:val="15"/>
        </w:rPr>
        <w:t>Characterizing Deep Research: A Benchmark and Formal Definition</w:t>
      </w:r>
      <w:r>
        <w:rPr>
          <w:rFonts w:ascii="Calibri" w:hAnsi="Calibri" w:eastAsia="PingFang SC"/>
          <w:sz w:val="15"/>
        </w:rPr>
        <w:t>. arXiv:2508.04183,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[10] Abaskohi et al. </w:t>
      </w:r>
      <w:r>
        <w:rPr>
          <w:rFonts w:ascii="Calibri" w:hAnsi="Calibri" w:eastAsia="PingFang SC"/>
          <w:i/>
          <w:sz w:val="15"/>
        </w:rPr>
        <w:t>DRBench: A Realistic Benchmark for Enterprise Deep Research</w:t>
      </w:r>
      <w:r>
        <w:rPr>
          <w:rFonts w:ascii="Calibri" w:hAnsi="Calibri" w:eastAsia="PingFang SC"/>
          <w:sz w:val="15"/>
        </w:rPr>
        <w:t>. arXiv:2510.00172,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[11] Liang et al. </w:t>
      </w:r>
      <w:r>
        <w:rPr>
          <w:rFonts w:ascii="Calibri" w:hAnsi="Calibri" w:eastAsia="PingFang SC"/>
          <w:i/>
          <w:sz w:val="15"/>
        </w:rPr>
        <w:t>Holistic Evaluation of Language Models</w:t>
      </w:r>
      <w:r>
        <w:rPr>
          <w:rFonts w:ascii="Calibri" w:hAnsi="Calibri" w:eastAsia="PingFang SC"/>
          <w:sz w:val="15"/>
        </w:rPr>
        <w:t>. TMLR,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[12] Ribeiro et al. </w:t>
      </w:r>
      <w:r>
        <w:rPr>
          <w:rFonts w:ascii="Calibri" w:hAnsi="Calibri" w:eastAsia="PingFang SC"/>
          <w:i/>
          <w:sz w:val="15"/>
        </w:rPr>
        <w:t>Beyond Accuracy: Behavioral Testing of NLP Models with CheckList</w:t>
      </w:r>
      <w:r>
        <w:rPr>
          <w:rFonts w:ascii="Calibri" w:hAnsi="Calibri" w:eastAsia="PingFang SC"/>
          <w:sz w:val="15"/>
        </w:rPr>
        <w:t>. ACL, 2020.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[13] Reuel et al. </w:t>
      </w:r>
      <w:r>
        <w:rPr>
          <w:rFonts w:ascii="Calibri" w:hAnsi="Calibri" w:eastAsia="PingFang SC"/>
          <w:i/>
          <w:sz w:val="15"/>
        </w:rPr>
        <w:t>BetterBench: Assessing AI Benchmarks, Uncovering Issues, and Establishing Best Practices</w:t>
      </w:r>
      <w:r>
        <w:rPr>
          <w:rFonts w:ascii="Calibri" w:hAnsi="Calibri" w:eastAsia="PingFang SC"/>
          <w:sz w:val="15"/>
        </w:rPr>
        <w:t>. arXiv:2411.12990,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[14] Zhu et al. </w:t>
      </w:r>
      <w:r>
        <w:rPr>
          <w:rFonts w:ascii="Calibri" w:hAnsi="Calibri" w:eastAsia="PingFang SC"/>
          <w:i/>
          <w:sz w:val="15"/>
        </w:rPr>
        <w:t>JudgeLM: Fine-tuned Large Language Models are Scalable Judges</w:t>
      </w:r>
      <w:r>
        <w:rPr>
          <w:rFonts w:ascii="Calibri" w:hAnsi="Calibri" w:eastAsia="PingFang SC"/>
          <w:sz w:val="15"/>
        </w:rPr>
        <w:t>. arXiv:2310.17631, 2023.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[15] Huang et al. </w:t>
      </w:r>
      <w:r>
        <w:rPr>
          <w:rFonts w:ascii="Calibri" w:hAnsi="Calibri" w:eastAsia="PingFang SC"/>
          <w:i/>
          <w:sz w:val="15"/>
        </w:rPr>
        <w:t>An Empirical Study of LLM-as-a-Judge for LLM Evaluation</w:t>
      </w:r>
      <w:r>
        <w:rPr>
          <w:rFonts w:ascii="Calibri" w:hAnsi="Calibri" w:eastAsia="PingFang SC"/>
          <w:sz w:val="15"/>
        </w:rPr>
        <w:t>. arXiv:2403.02839, 2024.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[16] Zeng et al. </w:t>
      </w:r>
      <w:r>
        <w:rPr>
          <w:rFonts w:ascii="Calibri" w:hAnsi="Calibri" w:eastAsia="PingFang SC"/>
          <w:i/>
          <w:sz w:val="15"/>
        </w:rPr>
        <w:t>Setoka: A Benchmark for Hierarchical User Understanding in Personalized Agents over Heterogeneous Data</w:t>
      </w:r>
      <w:r>
        <w:rPr>
          <w:rFonts w:ascii="Calibri" w:hAnsi="Calibri" w:eastAsia="PingFang SC"/>
          <w:sz w:val="15"/>
        </w:rPr>
        <w:t>. arXiv:2607.27056,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[17] Qian et al. </w:t>
      </w:r>
      <w:r>
        <w:rPr>
          <w:rFonts w:ascii="Calibri" w:hAnsi="Calibri" w:eastAsia="PingFang SC"/>
          <w:i/>
          <w:sz w:val="15"/>
        </w:rPr>
        <w:t>Toward User-Conditioned Evaluation of Personal LLM Agents under Temporal Interventions</w:t>
      </w:r>
      <w:r>
        <w:rPr>
          <w:rFonts w:ascii="Calibri" w:hAnsi="Calibri" w:eastAsia="PingFang SC"/>
          <w:sz w:val="15"/>
        </w:rPr>
        <w:t>. arXiv:2607.21635,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[18] Yang et al. </w:t>
      </w:r>
      <w:r>
        <w:rPr>
          <w:rFonts w:ascii="Calibri" w:hAnsi="Calibri" w:eastAsia="PingFang SC"/>
          <w:i/>
          <w:sz w:val="15"/>
        </w:rPr>
        <w:t>PersonaTrail: Benchmarking Personalized Web Agents through Browsing Trails</w:t>
      </w:r>
      <w:r>
        <w:rPr>
          <w:rFonts w:ascii="Calibri" w:hAnsi="Calibri" w:eastAsia="PingFang SC"/>
          <w:sz w:val="15"/>
        </w:rPr>
        <w:t>. arXiv:2607.20482,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[19] Todisco et al. </w:t>
      </w:r>
      <w:r>
        <w:rPr>
          <w:rFonts w:ascii="Calibri" w:hAnsi="Calibri" w:eastAsia="PingFang SC"/>
          <w:i/>
          <w:sz w:val="15"/>
        </w:rPr>
        <w:t>TARS: A Theory-of-Mind Agent for Personalized In-IDE Code Comprehension</w:t>
      </w:r>
      <w:r>
        <w:rPr>
          <w:rFonts w:ascii="Calibri" w:hAnsi="Calibri" w:eastAsia="PingFang SC"/>
          <w:sz w:val="15"/>
        </w:rPr>
        <w:t>. arXiv:2607.15948,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[20] Yang. </w:t>
      </w:r>
      <w:r>
        <w:rPr>
          <w:rFonts w:ascii="Calibri" w:hAnsi="Calibri" w:eastAsia="PingFang SC"/>
          <w:i/>
          <w:sz w:val="15"/>
        </w:rPr>
        <w:t>Self-Aware Recursively Self-Improving Agents for Personal Singularity</w:t>
      </w:r>
      <w:r>
        <w:rPr>
          <w:rFonts w:ascii="Calibri" w:hAnsi="Calibri" w:eastAsia="PingFang SC"/>
          <w:sz w:val="15"/>
        </w:rPr>
        <w:t>. arXiv:2607.12254,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[21] Mao et al. </w:t>
      </w:r>
      <w:r>
        <w:rPr>
          <w:rFonts w:ascii="Calibri" w:hAnsi="Calibri" w:eastAsia="PingFang SC"/>
          <w:i/>
          <w:sz w:val="15"/>
        </w:rPr>
        <w:t>Agents Don't Just Agree, They Remember: Benchmarking Persistent Sycophancy in Stateful Personal Agents</w:t>
      </w:r>
      <w:r>
        <w:rPr>
          <w:rFonts w:ascii="Calibri" w:hAnsi="Calibri" w:eastAsia="PingFang SC"/>
          <w:sz w:val="15"/>
        </w:rPr>
        <w:t>. arXiv:2607.10526,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[22] Yang et al. </w:t>
      </w:r>
      <w:r>
        <w:rPr>
          <w:rFonts w:ascii="Calibri" w:hAnsi="Calibri" w:eastAsia="PingFang SC"/>
          <w:i/>
          <w:sz w:val="15"/>
        </w:rPr>
        <w:t>APeB: Benchmarking Personalization Ability of Large Language Model Agents</w:t>
      </w:r>
      <w:r>
        <w:rPr>
          <w:rFonts w:ascii="Calibri" w:hAnsi="Calibri" w:eastAsia="PingFang SC"/>
          <w:sz w:val="15"/>
        </w:rPr>
        <w:t>. arXiv:2607.03162,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[23] Salemi et al. </w:t>
      </w:r>
      <w:r>
        <w:rPr>
          <w:rFonts w:ascii="Calibri" w:hAnsi="Calibri" w:eastAsia="PingFang SC"/>
          <w:i/>
          <w:sz w:val="15"/>
        </w:rPr>
        <w:t>LaMP: When Large Language Models Meet Personalization</w:t>
      </w:r>
      <w:r>
        <w:rPr>
          <w:rFonts w:ascii="Calibri" w:hAnsi="Calibri" w:eastAsia="PingFang SC"/>
          <w:sz w:val="15"/>
        </w:rPr>
        <w:t xml:space="preserve">. ACL, 2024.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https://aclanthology.org/2024.acl-long.399/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[24] Zhao et al. </w:t>
      </w:r>
      <w:r>
        <w:rPr>
          <w:rFonts w:ascii="Calibri" w:hAnsi="Calibri" w:eastAsia="PingFang SC"/>
          <w:i/>
          <w:sz w:val="15"/>
        </w:rPr>
        <w:t>PersonaLens: A Benchmark for Personalization Evaluation in Conversational AI Assistants</w:t>
      </w:r>
      <w:r>
        <w:rPr>
          <w:rFonts w:ascii="Calibri" w:hAnsi="Calibri" w:eastAsia="PingFang SC"/>
          <w:sz w:val="15"/>
        </w:rPr>
        <w:t xml:space="preserve">. Findings of ACL, 2025.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https://aclanthology.org/2025.findings-acl.927/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[25] Hao et al. </w:t>
      </w:r>
      <w:r>
        <w:rPr>
          <w:rFonts w:ascii="Calibri" w:hAnsi="Calibri" w:eastAsia="PingFang SC"/>
          <w:i/>
          <w:sz w:val="15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5"/>
        </w:rPr>
        <w:t xml:space="preserve">. ACL, 2025.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https://aclanthology.org/2025.acl-long.1064/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[26] Jiang et al. </w:t>
      </w:r>
      <w:r>
        <w:rPr>
          <w:rFonts w:ascii="Calibri" w:hAnsi="Calibri" w:eastAsia="PingFang SC"/>
          <w:i/>
          <w:sz w:val="15"/>
        </w:rPr>
        <w:t>Know Me, Respond to Me: Benchmarking LLMs for Dynamic User Profiling and Personalized Responses at Scale</w:t>
      </w:r>
      <w:r>
        <w:rPr>
          <w:rFonts w:ascii="Calibri" w:hAnsi="Calibri" w:eastAsia="PingFang SC"/>
          <w:sz w:val="15"/>
        </w:rPr>
        <w:t>. arXiv:2504.14225, 2025.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[27] Li et al. </w:t>
      </w:r>
      <w:r>
        <w:rPr>
          <w:rFonts w:ascii="Calibri" w:hAnsi="Calibri" w:eastAsia="PingFang SC"/>
          <w:i/>
          <w:sz w:val="15"/>
        </w:rPr>
        <w:t>Personalized Deep Research: A User-Centric Framework, Dataset, and Hybrid Evaluation for Knowledge Discovery</w:t>
      </w:r>
      <w:r>
        <w:rPr>
          <w:rFonts w:ascii="Calibri" w:hAnsi="Calibri" w:eastAsia="PingFang SC"/>
          <w:sz w:val="15"/>
        </w:rPr>
        <w:t>. arXiv:2605.10530,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[28] Balepur et al. </w:t>
      </w:r>
      <w:r>
        <w:rPr>
          <w:rFonts w:ascii="Calibri" w:hAnsi="Calibri" w:eastAsia="PingFang SC"/>
          <w:i/>
          <w:sz w:val="15"/>
        </w:rPr>
        <w:t>Language Models Don't Know What You Want: Evaluating Personalization in Deep Research Needs Real Users</w:t>
      </w:r>
      <w:r>
        <w:rPr>
          <w:rFonts w:ascii="Calibri" w:hAnsi="Calibri" w:eastAsia="PingFang SC"/>
          <w:sz w:val="15"/>
        </w:rPr>
        <w:t xml:space="preserve">. ACL, 2026.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[29] Liang et al. </w:t>
      </w:r>
      <w:r>
        <w:rPr>
          <w:rFonts w:ascii="Calibri" w:hAnsi="Calibri" w:eastAsia="PingFang SC"/>
          <w:i/>
          <w:sz w:val="15"/>
        </w:rPr>
        <w:t>Learning Personalized Agents from Human Feedback</w:t>
      </w:r>
      <w:r>
        <w:rPr>
          <w:rFonts w:ascii="Calibri" w:hAnsi="Calibri" w:eastAsia="PingFang SC"/>
          <w:sz w:val="15"/>
        </w:rPr>
        <w:t>. arXiv:2602.16173,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[30] Shen et al. </w:t>
      </w:r>
      <w:r>
        <w:rPr>
          <w:rFonts w:ascii="Calibri" w:hAnsi="Calibri" w:eastAsia="PingFang SC"/>
          <w:i/>
          <w:sz w:val="15"/>
        </w:rPr>
        <w:t>Mem2ActBench: A Benchmark for Evaluating Long-Term Memory Utilization in Task-Oriented Autonomous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https://aclanthology.org/2026.acl-long.370/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[31] Guo et al. </w:t>
      </w:r>
      <w:r>
        <w:rPr>
          <w:rFonts w:ascii="Calibri" w:hAnsi="Calibri" w:eastAsia="PingFang SC"/>
          <w:i/>
          <w:sz w:val="15"/>
        </w:rPr>
        <w:t>When Personalization Legitimizes Risks: Uncovering Safety Vulnerabilities in Personalized Dialogue Agents</w:t>
      </w:r>
      <w:r>
        <w:rPr>
          <w:rFonts w:ascii="Calibri" w:hAnsi="Calibri" w:eastAsia="PingFang SC"/>
          <w:sz w:val="15"/>
        </w:rPr>
        <w:t xml:space="preserve">. ACL, 2026. </w:t>
      </w:r>
      <w:hyperlink r:id="rId2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https://aclanthology.org/2026.acl-long.1260/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[32]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ACL, 2026. </w:t>
      </w:r>
      <w:hyperlink r:id="rId3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[33] Qiu et al. </w:t>
      </w:r>
      <w:r>
        <w:rPr>
          <w:rFonts w:ascii="Calibri" w:hAnsi="Calibri" w:eastAsia="PingFang SC"/>
          <w:i/>
          <w:sz w:val="15"/>
        </w:rPr>
        <w:t>Preference-Aware Rubric Learning for Personalized Evaluation</w:t>
      </w:r>
      <w:r>
        <w:rPr>
          <w:rFonts w:ascii="Calibri" w:hAnsi="Calibri" w:eastAsia="PingFang SC"/>
          <w:sz w:val="15"/>
        </w:rPr>
        <w:t xml:space="preserve">. arXiv:2605.31545, 2026. </w:t>
      </w:r>
      <w:hyperlink r:id="rId3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https://arxiv.org/abs/2605.31545</w:t>
        </w:r>
      </w:hyperlink>
    </w:p>
    <w:sectPr w:rsidR="00FC693F" w:rsidRPr="0006063C" w:rsidSect="00034616">
      <w:headerReference w:type="default" r:id="rId33"/>
      <w:footerReference w:type="default" r:id="rId3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clanthology.org/2024.acl-long.399/" TargetMode="External"/><Relationship Id="rId12" Type="http://schemas.openxmlformats.org/officeDocument/2006/relationships/hyperlink" Target="https://aclanthology.org/2025.findings-acl.927/" TargetMode="External"/><Relationship Id="rId13" Type="http://schemas.openxmlformats.org/officeDocument/2006/relationships/hyperlink" Target="https://aclanthology.org/2025.acl-long.1064/" TargetMode="External"/><Relationship Id="rId14" Type="http://schemas.openxmlformats.org/officeDocument/2006/relationships/hyperlink" Target="https://arxiv.org/abs/2504.14225" TargetMode="External"/><Relationship Id="rId15" Type="http://schemas.openxmlformats.org/officeDocument/2006/relationships/hyperlink" Target="https://arxiv.org/abs/2605.10530" TargetMode="External"/><Relationship Id="rId16" Type="http://schemas.openxmlformats.org/officeDocument/2006/relationships/hyperlink" Target="https://aclanthology.org/2026.acl-long.723/" TargetMode="External"/><Relationship Id="rId17" Type="http://schemas.openxmlformats.org/officeDocument/2006/relationships/hyperlink" Target="https://arxiv.org/abs/2509.25106" TargetMode="External"/><Relationship Id="rId18" Type="http://schemas.openxmlformats.org/officeDocument/2006/relationships/hyperlink" Target="https://arxiv.org/abs/2510.14240" TargetMode="External"/><Relationship Id="rId19" Type="http://schemas.openxmlformats.org/officeDocument/2006/relationships/hyperlink" Target="https://openai.com/index/paperbench/" TargetMode="External"/><Relationship Id="rId20" Type="http://schemas.openxmlformats.org/officeDocument/2006/relationships/hyperlink" Target="https://arxiv.org/abs/2605.19276" TargetMode="External"/><Relationship Id="rId21" Type="http://schemas.openxmlformats.org/officeDocument/2006/relationships/hyperlink" Target="https://evalscope.readthedocs.io/en/refact_readme/get_started/introduction.html" TargetMode="External"/><Relationship Id="rId22" Type="http://schemas.openxmlformats.org/officeDocument/2006/relationships/hyperlink" Target="https://arxiv.org/abs/2607.27056" TargetMode="External"/><Relationship Id="rId23" Type="http://schemas.openxmlformats.org/officeDocument/2006/relationships/hyperlink" Target="https://arxiv.org/abs/2607.20482" TargetMode="External"/><Relationship Id="rId24" Type="http://schemas.openxmlformats.org/officeDocument/2006/relationships/hyperlink" Target="https://arxiv.org/abs/2607.03162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rxiv.org/abs/2607.15948" TargetMode="External"/><Relationship Id="rId27" Type="http://schemas.openxmlformats.org/officeDocument/2006/relationships/hyperlink" Target="https://arxiv.org/abs/2602.16173" TargetMode="External"/><Relationship Id="rId28" Type="http://schemas.openxmlformats.org/officeDocument/2006/relationships/hyperlink" Target="https://arxiv.org/abs/2607.10526" TargetMode="External"/><Relationship Id="rId29" Type="http://schemas.openxmlformats.org/officeDocument/2006/relationships/hyperlink" Target="https://aclanthology.org/2026.acl-long.1260/" TargetMode="External"/><Relationship Id="rId30" Type="http://schemas.openxmlformats.org/officeDocument/2006/relationships/header" Target="header2.xml"/><Relationship Id="rId31" Type="http://schemas.openxmlformats.org/officeDocument/2006/relationships/footer" Target="footer2.xml"/><Relationship Id="rId32" Type="http://schemas.openxmlformats.org/officeDocument/2006/relationships/image" Target="media/image1.pn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hyperlink" Target="https://aclanthology.org/2026.acl-long.2079/" TargetMode="External"/><Relationship Id="rId36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