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v0.50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单用户绝对适配分不能证明反事实用户特异性；必须用 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>DeepAlign-Bench 为同一 task family 构造两位都真实合理、但有 2–4 个决策相关差异的用户 A/B。系统分别生成 matched-A、matched-B 与 task-only 报告，两套用户标准再交叉评价两份 matched 报告。结果不压成总分，而同时报告：双向 specificity、matched 绝对合格、相对 task-only 的新增收益、共同质量/事实 no-harm，以及隐私与权限 no-violation。v0.50 进一步把一次性报告、主动澄清、中途提问、memory 和动态更新统一成带信息事件时间线的 research episode，避免把交互时机、信息来源与访问方式混成一个 channel 标签。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5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从元数据与 paired users，到统一 Research Episode、交叉矩阵、五道非补偿门、压力测试和首批数据。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范式鲁棒性：</w:t>
      </w:r>
      <w:r>
        <w:rPr>
          <w:rFonts w:ascii="Calibri" w:hAnsi="Calibri" w:eastAsia="PingFang SC"/>
        </w:rPr>
        <w:t>一次性直接提供、主动澄清、执行中更新及 memory/workspace 获取是否产生一致的关键决策和可解释的系统排序？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research episodes + contracts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stratum、intent、stakes、决策节点、用户差异、must-change/must-hold/must-not、clarify-if-unknown；两人独立标注并仲裁，LLM 只能预填。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从真实任务出发，不从“丰满人物故事”出发。每条用户事实必须说明为什么会改变建议、matched 应采用什么、swapped 哪里不适合、什么共同事实不得改变。优先两位真实用户共享同一任务；次选一位真实用户加经相似参与者验证的最小反事实用户；纯 LLM persona 只用于 smoke test。</w:t>
      </w:r>
    </w:p>
    <w:p>
      <w:pPr>
        <w:pStyle w:val="Heading1"/>
      </w:pPr>
      <w:r>
        <w:t>4. 统一 Research Episode 与用户信息来源</w:t>
      </w:r>
    </w:p>
    <w:p>
      <w:r>
        <w:rPr>
          <w:rFonts w:ascii="Calibri" w:hAnsi="Calibri" w:eastAsia="PingFang SC"/>
        </w:rPr>
        <w:t>“一次性、主动澄清、中途提问、memory”不是同一层类别。每个 episode 同时记录：初始任务充分性、交互时机、信息来源、载体与访问方式、可用时间和更新关系、系统能力资格。</w:t>
      </w:r>
    </w:p>
    <w:p>
      <w:r>
        <w:rPr>
          <w:rFonts w:ascii="Calibri" w:hAnsi="Calibri" w:eastAsia="PingFang SC"/>
        </w:rPr>
        <w:t>完整范式库定义八种配置：P0 task-only closed、P1 one-shot direct、P2 pre-research clarification、P3 in-research interactive、P4 checkpoint update、P5 memory retrieval、P6 workspace grounded、P7 draft-feedback revision。首版只跑 P0/P1/P2/P4：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P0：</w:t>
      </w:r>
      <w:r>
        <w:rPr>
          <w:rFonts w:ascii="Calibri" w:hAnsi="Calibri" w:eastAsia="PingFang SC"/>
        </w:rPr>
        <w:t>无任务相关用户信息且不可问，作为一般高质量基线。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P1：</w:t>
      </w:r>
      <w:r>
        <w:rPr>
          <w:rFonts w:ascii="Calibri" w:hAnsi="Calibri" w:eastAsia="PingFang SC"/>
        </w:rPr>
        <w:t>开始前一次性给完整事实，测 information use；structured persona 与等义 history 可作为载体消融。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P2：</w:t>
      </w:r>
      <w:r>
        <w:rPr>
          <w:rFonts w:ascii="Calibri" w:hAnsi="Calibri" w:eastAsia="PingFang SC"/>
        </w:rPr>
        <w:t>初始 query 足以做通用研究，但隐藏 1–2 个会改变建议的事实；agent 必须主动问，模拟器只按 ledger 回答。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P4：</w:t>
      </w:r>
      <w:r>
        <w:rPr>
          <w:rFonts w:ascii="Calibri" w:hAnsi="Calibri" w:eastAsia="PingFang SC"/>
        </w:rPr>
        <w:t>研究中在控制 checkpoint 注入覆盖旧事实的更新，测 replanning、旧状态清除与未变事实保持。</w:t>
      </w:r>
    </w:p>
    <w:p>
      <w:r>
        <w:rPr>
          <w:rFonts w:ascii="Calibri" w:hAnsi="Calibri" w:eastAsia="PingFang SC"/>
        </w:rPr>
        <w:t xml:space="preserve">系统不支持 ask、memory retrieval 或 checkpoint 时标记 </w:t>
      </w: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，不能算零分。P1 的 persona/history 可进入 cue-equivalence；P2/P4 改变了获取或时序机制，不能机械视为等价 cue。v0.50 已生成 3 个纯合成工程 family、6 位用户和 24 个平衡 episode，并通过结构校验；它们只用于 schema/runner/rubric vertical slice，真实用户效度尚未建立。</w:t>
      </w:r>
    </w:p>
    <w:p>
      <w:pPr>
        <w:pStyle w:val="Heading1"/>
      </w:pPr>
      <w:r>
        <w:t>5. 运行条件与反例校准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生成）。每套 A/B rubric 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</w:t>
      </w:r>
    </w:p>
    <w:p>
      <w:r>
        <w:rPr>
          <w:rFonts w:ascii="Calibri" w:hAnsi="Calibri" w:eastAsia="PingFang SC"/>
        </w:rPr>
        <w:t>JudgeBench 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反例驱动的 personalization JudgeBench，专门测 general-good、over-personalized 与 mention–adoption 绑定失败；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 不是 novelty 主张。</w:t>
      </w:r>
      <w:hyperlink r:id="rId17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18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19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0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Deep Research、主动澄清、搜索歧义恢复和个性化 Retrieve/Ask/Stop。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DeepAlign 的新意必须来自 paired-user estimand、非补偿测量和能改变系统结论的 judge stress test，而不是“我们也允许 agent 提问”。</w:t>
      </w:r>
    </w:p>
    <w:p>
      <w:pPr>
        <w:pStyle w:val="Heading1"/>
      </w:pPr>
      <w:r>
        <w:t>9. 五天冻结与执行计划</w:t>
      </w:r>
    </w:p>
    <w:p>
      <w:hyperlink r:id="rId21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给出的摘要截止为 2026-09-11 AOE、全文截止为 2026-09-16 AOE。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2026-08-12 起约剩 30/35 天。因此最迟应在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之后六周：第 1 周冻结 3 个完整 family 与人评；第 2–3 周扩到 12–24 family 并跑 2–3 个系统；第 4 周完成 judge calibration 和 family-level 统计；第 5 周补少量 decision/channel validation；第 6 周冻结结果、论文、主图和匿名 artifact。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601.06676" TargetMode="External"/><Relationship Id="rId18" Type="http://schemas.openxmlformats.org/officeDocument/2006/relationships/hyperlink" Target="https://arxiv.org/abs/2602.03468" TargetMode="External"/><Relationship Id="rId19" Type="http://schemas.openxmlformats.org/officeDocument/2006/relationships/hyperlink" Target="https://arxiv.org/abs/2606.27669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