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从绝对适配到反事实用户特异性</w:t>
      </w:r>
    </w:p>
    <w:p>
      <w:pPr>
        <w:spacing w:after="520"/>
        <w:jc w:val="center"/>
        <w:pBdr>
          <w:bottom w:val="single" w:sz="8" w:space="8" w:color="7A9BB7"/>
        </w:pBdr>
      </w:pPr>
      <w:r>
        <w:rPr>
          <w:rFonts w:ascii="Calibri" w:hAnsi="Calibri" w:eastAsia="PingFang SC"/>
          <w:b/>
          <w:color w:val="5B6B7A"/>
          <w:sz w:val="21"/>
        </w:rPr>
        <w:t>Interactive Agents · Personalization · Deep Research</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v0.50 · 统一 Research Episode 与首批数据版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14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JudgeBench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五天冻结门、贡献与主张边界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阅读提示：先看主图和研究概要理解 absolute adaptation 与 counterfactual specificity 的区别；指标、反例实验和五天冻结门是当前版本的决策重点。</w:t>
      </w:r>
    </w:p>
    <w:p>
      <w:r>
        <w:br w:type="page"/>
      </w:r>
    </w:p>
    <w:p>
      <w:pPr>
        <w:pStyle w:val="Heading1"/>
      </w:pPr>
      <w:r>
        <w:t>研究概要</w:t>
      </w:r>
    </w:p>
    <w:p>
      <w:r>
        <w:rPr>
          <w:rFonts w:ascii="Calibri" w:hAnsi="Calibri" w:eastAsia="PingFang SC"/>
        </w:rPr>
        <w:t>Deep Research 智能体已经能检索、综合并生成长报告，PDR-Bench 也已经建立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但一个单用户绝对分仍不能回答另一个构念：</w:t>
      </w:r>
      <w:r>
        <w:rPr>
          <w:rFonts w:ascii="Calibri" w:hAnsi="Calibri" w:eastAsia="PingFang SC"/>
          <w:b/>
        </w:rPr>
        <w:t>只改变目标用户、固定任务和证据后，系统是否会发生方向正确且只对该用户必要的变化。</w:t>
      </w:r>
      <w:r>
        <w:rPr>
          <w:rFonts w:ascii="Calibri" w:hAnsi="Calibri" w:eastAsia="PingFang SC"/>
        </w:rPr>
        <w:t xml:space="preserve"> 一份高质量通用报告可能对两位用户都拿高分；一份反复提及 persona 的报告也可能在最终决策上用错约束。DeepAlign-Bench 的主目标是识别这种 counterfactual user specificity，而不是再造一个更复杂的绝对适配总分。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两个月版本先完成 3 个完整 family 的官方 judge + 真人校准，再扩到约 12–24 个 family、2–3 条 agent 管线。v0.50 不再把 structured persona、clarification、memory 和中途更新混写成平级“渠道”，而是把每次 Deep Research 运行统一建模为一个 </w:t>
      </w:r>
      <w:r>
        <w:rPr>
          <w:rFonts w:ascii="Calibri" w:hAnsi="Calibri" w:eastAsia="PingFang SC"/>
          <w:b/>
        </w:rPr>
        <w:t>research episode</w:t>
      </w:r>
      <w:r>
        <w:rPr>
          <w:rFonts w:ascii="Calibri" w:hAnsi="Calibri" w:eastAsia="PingFang SC"/>
        </w:rPr>
        <w:t>：任务初始信息是否充分、用户何时可交互、信息由谁产生、通过什么载体进入上下文、何时可用、能否更新，以及系统是否具备相应的 ask/retrieve/checkpoint/revise 能力。不同产品范式只是这些轴的配置。首版只运行四个可解释的核心条件：</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P4 checkpoint update</w:t>
      </w:r>
      <w:r>
        <w:rPr>
          <w:rFonts w:ascii="Calibri" w:hAnsi="Calibri" w:eastAsia="PingFang SC"/>
        </w:rPr>
        <w:t>；中途提问、memory retrieval、private workspace 与 draft-feedback revision 先进入扩展库，不做完整笛卡尔积。</w:t>
      </w:r>
    </w:p>
    <w:p>
      <w:r>
        <w:rPr>
          <w:rFonts w:ascii="Calibri" w:hAnsi="Calibri" w:eastAsia="PingFang SC"/>
          <w:b/>
        </w:rPr>
        <w:t>一句话研究目标：</w:t>
      </w:r>
      <w:r>
        <w:rPr>
          <w:rFonts w:ascii="Calibri" w:hAnsi="Calibri" w:eastAsia="PingFang SC"/>
        </w:rPr>
        <w:t>在固定任务、证据、工具和预算时，检验 Deep Research agent 的最终交付物是否同时具有双向反事实用户特异性、绝对合格、相对通用回答的真实收益、共同质量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整体框架与 PDR-compatible 压力测试</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整体框架与PDR压力测试_v0.50.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从 case/task/user 元数据和统一 Research Episode，到 2×2 交叉评分、五道非补偿门、系统能力地图、方向性最小实验与第一批数据。</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RQ3（范式鲁棒性）：</w:t>
      </w:r>
      <w:r>
        <w:rPr>
          <w:rFonts w:ascii="Calibri" w:hAnsi="Calibri" w:eastAsia="PingFang SC"/>
        </w:rPr>
        <w:t>同一隐藏 user state 在一次性直接提供、主动澄清、执行中更新或外部 memory/workspace 检索等 research episode 中被获得时，系统排序和关键决策是否稳定；差异来自信息使用、主动获取还是状态更新？</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CFA、三类契约、跨 cue 稳健性和 JudgeBench 负责确认处理；DDE 与 WrongUserHarm 才承担核心结论。</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都要说明：测什么任务、在什么环境中运行、目标用户是谁、这一次研究 episode 允许怎样交互和获得信息、被测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所有 Deep Research 范式如何统一建模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ontology，不是首版运行矩阵。主因果矩阵只选择 P0/P1/P2/P4：分别回答没有用户信息时能写多好、信息给到后会不会用、信息缺失时会不会主动问并采用、状态变化后会不会更新且清除旧结论。P3/P5/P6/P7 等 E3 vertical slice 跑通后按 family 适用性加入。</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四重门后，才扩到 </w:t>
      </w:r>
      <w:r>
        <w:rPr>
          <w:rFonts w:ascii="Calibri" w:hAnsi="Calibri" w:eastAsia="PingFang SC"/>
          <w:b/>
        </w:rPr>
        <w:t>8–12 个决策 family</w:t>
      </w:r>
      <w:r>
        <w:rPr>
          <w:rFonts w:ascii="Calibri" w:hAnsi="Calibri" w:eastAsia="PingFang SC"/>
        </w:rPr>
        <w:t>。真人招募暂按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1"/>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1"/>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1"/>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1"/>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2–4 个有决策后果的 axes，并保持其他字段、信息量和表述长度尽量接近。例如同为医院项目负责人，只改变决策职责、技术知识和风险门槛，而不是把两人写成完全不同的故事。</w:t>
      </w:r>
    </w:p>
    <w:p>
      <w:pPr>
        <w:numPr>
          <w:ilvl w:val="0"/>
          <w:numId w:val="21"/>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1"/>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1"/>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1"/>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4">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2"/>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2"/>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2"/>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2"/>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2"/>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2"/>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编译接口、direction node 与叶节点 schema、聚合规则</w:t>
      </w:r>
      <w:r>
        <w:rPr>
          <w:rFonts w:ascii="Calibri" w:hAnsi="Calibri" w:eastAsia="PingFang SC"/>
        </w:rPr>
        <w:t xml:space="preserve">；具体评价项由 case 元数据和预先写好的评价契约选择。仓库中除 case/template/module/leaf/metric/data-factory 外，v0.31 新增 </w:t>
      </w:r>
      <w:r>
        <w:rPr>
          <w:rFonts w:ascii="Courier New" w:hAnsi="Courier New" w:eastAsia="PingFang SC"/>
          <w:color w:val="6A3E00"/>
          <w:sz w:val="20"/>
        </w:rPr>
        <w:t>rubric_node_registry.yaml</w:t>
      </w:r>
      <w:r>
        <w:rPr>
          <w:rFonts w:ascii="Calibri" w:hAnsi="Calibri" w:eastAsia="PingFang SC"/>
        </w:rPr>
        <w:t>、</w:t>
      </w:r>
      <w:r>
        <w:rPr>
          <w:rFonts w:ascii="Courier New" w:hAnsi="Courier New" w:eastAsia="PingFang SC"/>
          <w:color w:val="6A3E00"/>
          <w:sz w:val="20"/>
        </w:rPr>
        <w:t>construction_annotation.protocol.yaml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，分别冻结 module 到 case-specific leaf 之间的可复用方向、分层标注和三环境开工顺序。自动 validator、路由器和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契约；（4）证据包与允许访问范围；（5）版本化模板库。它在任何被测输出产生前按六步运行：</w:t>
      </w:r>
    </w:p>
    <w:p>
      <w:pPr>
        <w:numPr>
          <w:ilvl w:val="0"/>
          <w:numId w:val="23"/>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3"/>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等字段选择父级 module；</w:t>
      </w:r>
    </w:p>
    <w:p>
      <w:pPr>
        <w:numPr>
          <w:ilvl w:val="0"/>
          <w:numId w:val="23"/>
        </w:numPr>
        <w:spacing w:after="80" w:line="290" w:lineRule="auto"/>
        <w:ind w:left="540" w:hanging="279"/>
      </w:pPr>
      <w:r>
        <w:rPr>
          <w:rFonts w:ascii="Calibri" w:hAnsi="Calibri" w:eastAsia="PingFang SC"/>
          <w:b/>
        </w:rPr>
        <w:t>Select nodes</w:t>
      </w:r>
      <w:r>
        <w:rPr>
          <w:rFonts w:ascii="Calibri" w:hAnsi="Calibri" w:eastAsia="PingFang SC"/>
        </w:rPr>
        <w:t>：根据冻结的 metadata/contracts 选择适用 direction node；</w:t>
      </w:r>
    </w:p>
    <w:p>
      <w:pPr>
        <w:numPr>
          <w:ilvl w:val="0"/>
          <w:numId w:val="23"/>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3"/>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3"/>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4"/>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4"/>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4"/>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4"/>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4"/>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4"/>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4"/>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5"/>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5"/>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5"/>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5"/>
        </w:numPr>
        <w:spacing w:after="80" w:line="290" w:lineRule="auto"/>
        <w:ind w:left="540" w:hanging="279"/>
      </w:pPr>
      <w:r>
        <w:rPr>
          <w:rFonts w:ascii="Calibri" w:hAnsi="Calibri" w:eastAsia="PingFang SC"/>
        </w:rPr>
        <w:t>matched outputs 均通过 TQ、FR、must-hold 与 owner-aware critical must-not gate；</w:t>
      </w:r>
    </w:p>
    <w:p>
      <w:pPr>
        <w:numPr>
          <w:ilvl w:val="0"/>
          <w:numId w:val="25"/>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Judge 体系与独立 JudgeBench</w:t>
      </w:r>
    </w:p>
    <w:p>
      <w:pPr>
        <w:pStyle w:val="Heading2"/>
      </w:pPr>
      <w:r>
        <w:t>8.1 级联评估</w:t>
      </w:r>
    </w:p>
    <w:p>
      <w:pPr>
        <w:numPr>
          <w:ilvl w:val="0"/>
          <w:numId w:val="26"/>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6"/>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6"/>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6"/>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6"/>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hyperlink r:id="rId46">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：先完成 3 个端到端 decision vertical slice；通过 utility 可冻结、task shell 等价、报告质量配平和盲化门后，扩到 8–12 个决策 family、约 36–48 名真实目标用户和 2–3 条可比 agent/报告生成管线。Phase A 可运行更多离线 artifact episode，但 Phase B 的真人功效优先于 taxonomy 或 agent 数量。长期状态、证据污染和权限只在 2–4 个适用 anchor 上做单因素压力层。</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先承认 PDR-Bench 已能用 task/persona-conditioned P-Score 评价 absolute adaptation，v0.31 的跨用户 2×2 矩阵只是把 artifact-fit 的识别做得更严格。v0.32 的核心增量不再是另一种 fit 分数，而是把 task-only、matched、swapped 报告作为随机化处理，检验它们是否降低真实目标用户在预冻结 utility 下的 decision regret。PF/CFA、</w:t>
      </w:r>
      <w:r>
        <w:rPr>
          <w:rFonts w:ascii="Courier New" w:hAnsi="Courier New" w:eastAsia="PingFang SC"/>
          <w:color w:val="6A3E00"/>
          <w:sz w:val="20"/>
        </w:rPr>
        <w:t>must-change / must-hold / must-not</w:t>
      </w:r>
      <w:r>
        <w:rPr>
          <w:rFonts w:ascii="Calibri" w:hAnsi="Calibri" w:eastAsia="PingFang SC"/>
        </w:rPr>
        <w:t>、目标用户盲评和 JudgeBench 只确认处理成立并解释机制；DDE、WrongUserHarm、硬约束和置信度校准承担主要结论。更多任务、agent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反例驱动的 JudgeBench。</w:t>
      </w:r>
      <w:r>
        <w:rPr>
          <w:rFonts w:ascii="Calibri" w:hAnsi="Calibri" w:eastAsia="PingFang SC"/>
        </w:rPr>
        <w:t xml:space="preserve"> 用 general-good、over-personalized、mention-only、wrong-user 和 persona-keyword artifacts 审计动态 rubric 是否真的绑定到最终决策，而非只奖励关键词和一般质量；</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ledger/contracts/final rubric；区分“信息给到后会用”与“需要交互获取时仍能用”；</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能构造自然的 paired users，并在输出前冻结 must-change/must-hold/must-not、task-only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3 个 decision vertical slice、utility schema 与等价 task-shell 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utility 是否可在输出前定义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8–12 family、参与者与主要终点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：3 个端到端 vertical slice 先验证构念；通过后扩到 8–12 个决策 family。预计约 36–48 名真实目标用户，但最终样本量由 pilot 方差和最小有意义 regret 改善做功效模拟后冻结。</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：首版只验证一件核心事情：个性化研究交付物是否因果性地改善目标用户的可验证决策。若 CFA 高而 DDE 不提高，论文将报告 artifact-fit 代理失效。论文不声称覆盖所有 DR 模式，也不从 final-only 数据推断内部理解机制。</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user/family 方差和 power simulation 冻结 8–12 个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81">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难；E1 后追加约 2–4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service、checkpoint/fork/reset、event scheduler、private workspace/permission、clarification/conflict/update/handoff</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事件前分支等价；未来状态泄漏；时序与权限语义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一个薄层 anchor 的机制诊断</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82">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83">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84">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85">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86">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87">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88">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utility、task-shell 等价、报告质量配平和实施可行性门，才扩到 8–12 个；否则优先修改构念和实验设计。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r>
        <w:rPr>
          <w:rFonts w:ascii="Calibri" w:hAnsi="Calibri" w:eastAsia="PingFang SC"/>
        </w:rPr>
        <w:t>ICLR 2027 官方 Author Guidelines 给出的 abstract deadline 是 2026-09-11 AOE，paper deadline 是 2026-09-16 AOE。以 2026-08-12 计算，距离摘要约 30 天、全文约 35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leaf、样本、实现细节和写法。若五天后仍在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89">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81">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82">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83">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84">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85">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86">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87">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88">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90">
        <w:r>
          <w:rPr>
            <w:rFonts w:ascii="Calibri" w:hAnsi="Calibri" w:eastAsia="PingFang SC"/>
            <w:color w:val="2E74B5"/>
            <w:u w:val="single"/>
            <w:sz w:val="16"/>
            <w:szCs w:val="16"/>
          </w:rPr>
          <w:t>https://arxiv.org/abs/2601.17087</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2026-8-14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arxiv.org/abs/2507.21071" TargetMode="External"/><Relationship Id="rId82" Type="http://schemas.openxmlformats.org/officeDocument/2006/relationships/hyperlink" Target="https://openreview.net/pdf/c2a76eb44300a738cbd7cb95f5bc04df621f4d25.pdf" TargetMode="External"/><Relationship Id="rId83" Type="http://schemas.openxmlformats.org/officeDocument/2006/relationships/hyperlink" Target="https://openreview.net/pdf?id=oKn9c6ytLx" TargetMode="External"/><Relationship Id="rId84" Type="http://schemas.openxmlformats.org/officeDocument/2006/relationships/hyperlink" Target="https://arxiv.org/abs/2510.21652" TargetMode="External"/><Relationship Id="rId85" Type="http://schemas.openxmlformats.org/officeDocument/2006/relationships/hyperlink" Target="https://arxiv.org/abs/2505.21936" TargetMode="External"/><Relationship Id="rId86" Type="http://schemas.openxmlformats.org/officeDocument/2006/relationships/hyperlink" Target="https://media.iclr.cc/Conferences/ICLR2024/ICLR2024-Fact_Sheet.pdf" TargetMode="External"/><Relationship Id="rId87" Type="http://schemas.openxmlformats.org/officeDocument/2006/relationships/hyperlink" Target="https://media.iclr.cc/Conferences/ICLR2026/ICLR2026_Fact_Sheet.pdf" TargetMode="External"/><Relationship Id="rId88" Type="http://schemas.openxmlformats.org/officeDocument/2006/relationships/hyperlink" Target="https://arxiv.org/abs/2510.18560" TargetMode="External"/><Relationship Id="rId89" Type="http://schemas.openxmlformats.org/officeDocument/2006/relationships/hyperlink" Target="https://openreview.net/pdf?id=zAdUB0aCTQ" TargetMode="External"/><Relationship Id="rId90"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