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v0.29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交叉评分检验结果特异性，再用语义等价 cue 检查结论是否依赖表面表达。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已能够评价 task–persona 条件下的 absolute adaptation，但其最佳 judge 的人类 pairwise agreement 仅 0.43，校准只覆盖 15 个 query 与两个 agent。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DeepAlign 的方法增量不是 rubric 更懂 persona，而是转向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；JudgeBench 则解决新 estimand 的测量可靠性。本项目固定任务与证据，交换两个都合理的目标用户，并用预冻结契约约束有效变化。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或动态上下文接入 Deep Research。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PDR 的 P-Score 按 task/persona 生成权重与子标准，能回答“给定用户，这份报告是否适合”；DeepAlign 改问“固定 task/evidence/resources，只换用户后，两份交付物是否各自更适合对应用户”，并以 must-change / must-hold / must-not 排除方向错误、共同事实破坏和过度推断。PDR 的测量边界也需保留：15-query/2-agent 校准中最佳 PCA=0.43；两层动态 rubric 会引入 criterion variance；human panel 不等于目标用户效度；事实分依赖 claim 抽取—去重—抓取—支持判断链；P/Q/R 算术平均还可能补偿关键事实失败。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这些支持独立 JudgeBench 和 hard gate，但不是 estimand 创新的替代。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如何从 absolute adaptation evaluation 转向 counterfactual personalization effect identification，检验只改变目标用户后交付物是否发生方向正确的变化；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可辩护的核心主张是：在广义 Deep Research 的多类最终交付物上，用 matched/swapped 用户交换和预冻结 must-change/must-hold/must-not 真值识别可观察的 counterfactual personalization effect。异构用户信号、长程干预、模块化 rubric 和独立 JudgeBench 用于检验这一效应的稳健性、测量效度与外部效度，不与核心创新并列。该协议不证明模型内部“真正理解用户”；若 matched/swapped 人评不稳定，论文将收缩为 absolute adaptation 的扩展研究。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RQ3：长程保持与更新。</w:t>
      </w:r>
      <w:r>
        <w:rPr>
          <w:rFonts w:ascii="Calibri" w:hAnsi="Calibri" w:eastAsia="PingFang SC"/>
        </w:rPr>
        <w:t xml:space="preserve"> 上下文稀释、信息冲突、agent 交接和用户状态更新如何影响用户适配？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长上下文干扰使用户特异适配比共同任务质量下降更快；动态状态变化后旧状态残留率随压力增加。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类型在忽略约束、信息冲突、过度个性化、保持和更新失败上存在可重复差异。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0"/>
          <w:footerReference w:type="default" r:id="rId3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需求剖面”组织。多篇论文不直接求 taxonomy 并集，而先进入 source-to-design ledger：每个来源分别标为 task seed、用户 construct、perturbation、rubric/judge 或 infrastructure，并记录采用、修改和拒绝项。每个 family 依次完成：一个端到端 vertical slice → 真实需求 seed → 冻结 task/evidence/deliverable core → 标注 stratum/intent/demand → 配对 user states → 冻结差异契约 → 编译 module/leaves → 目标用户/专家 pilot。24 个 family 中 18 个覆盖 3×6 主单元，6 个复测关键单元；若只能产生文风差异或 matched/swapped 不稳定则删除。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固定任务、证据和资源，构造两个都自然且对结果有实质影响的用户。Persona 不先写 biography，而按“真实 source record → task-relevant axes → 共享 invariant core → 只改 2–3 个决策相关字段 → fact-to-contract map → 多 signal views → 负对照 → 人类验证”生成。每条事实记录来源、时间、可信度、相关性、敏感度和披露权限；structured persona、自然历史与澄清回答都由同一 ledger 编译。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Harness：</w:t>
      </w:r>
      <w:r>
        <w:rPr>
          <w:rFonts w:ascii="Calibri" w:hAnsi="Calibri" w:eastAsia="PingFang SC"/>
        </w:rPr>
        <w:t xml:space="preserve"> 只读证据快照、统一工具/预算、paired seed，形成因果主榜；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Product/Web：</w:t>
      </w:r>
      <w:r>
        <w:rPr>
          <w:rFonts w:ascii="Calibri" w:hAnsi="Calibri" w:eastAsia="PingFang SC"/>
        </w:rPr>
        <w:t xml:space="preserve"> 使用原生商业/开源能力，记录版本、日期、地区、工具和 URL 快照，单独形成产品榜；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Sandbox：</w:t>
      </w:r>
      <w:r>
        <w:rPr>
          <w:rFonts w:ascii="Calibri" w:hAnsi="Calibri" w:eastAsia="PingFang SC"/>
        </w:rPr>
        <w:t xml:space="preserve"> 事件脚本在固定 checkpoint 注入澄清、冲突、handoff 和动态更新，共享前缀分叉形成压力与机制榜。</w:t>
      </w:r>
    </w:p>
    <w:p>
      <w:r>
        <w:rPr>
          <w:rFonts w:ascii="Calibri" w:hAnsi="Calibri" w:eastAsia="PingFang SC"/>
        </w:rPr>
        <w:t>三者是运行环境，不是 agent 类型。核心模式 M1 商业产品、M2 controlled harness、M3 开源 DRA；code、multi-agent、memory-enhanced 只在适用 anchor 上做架构 probe。统一 adapter 至少实现 reset、provide_signal、run_until、inject_event、export_artifact 和 trace-level 声明。</w:t>
      </w:r>
    </w:p>
    <w:p>
      <w:r>
        <w:rPr>
          <w:rFonts w:ascii="Calibri" w:hAnsi="Calibri" w:eastAsia="PingFang SC"/>
        </w:rPr>
        <w:t>开工时不同时搭满三条轨道：先用 2 family × 2 agent 跑通 E1；再用 1 个 anchor 验证 E3 checkpoint/conflict/update；最后只做 1 个 E2 商业产品 adapter smoke test。E1 和一个 E3 event 未端到端通过前不批量造数；E2 不阻塞主矩阵。</w:t>
      </w:r>
    </w:p>
    <w:p>
      <w:r>
        <w:rPr>
          <w:rFonts w:ascii="Calibri" w:hAnsi="Calibri" w:eastAsia="PingFang SC"/>
        </w:rPr>
        <w:t xml:space="preserve">8 个 anchor 覆盖日常决策、学习职业、金融信息、健康信息、企业采购/合规、软件生产、学术前沿和政策传播。每个先建 clean family，再按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两个正交扰动</w:t>
      </w:r>
      <w:r>
        <w:rPr>
          <w:rFonts w:ascii="Calibri" w:hAnsi="Calibri" w:eastAsia="PingFang SC"/>
        </w:rPr>
        <w:t xml:space="preserve"> 运行。difficulty 用 evidence、signal、horizon、orchestration、permission、counterfactual subtlety 六维 stress vector 表示；risk、failure mode 与强度分开，不求和成伪精确难度分。</w:t>
      </w:r>
    </w:p>
    <w:p>
      <w:r>
        <w:rPr>
          <w:rFonts w:ascii="Calibri" w:hAnsi="Calibri" w:eastAsia="PingFang SC"/>
        </w:rPr>
        <w:t>所有 anchor 运行 clean、persona swap 和 irrelevant-signal；其余 failure mode 用平衡不完全区组分配。若要跨任务比较“long context、conflict、handoff 哪种伤害更大”，主要 perturbation 至少落到 4 个适用 anchor；只落到 2 个时仅作探索性复现。Anchor 通过同任务、同前缀 control 估计受控扰动敏感度，不能仅凭异构任务相关性声称找到了内部根因。结果分四层报 base task profile、signal board、S0–S3 stress curve 和 boundary/governance board。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dynamic-update 的受控压力分叉做机制诊断。如果该子集未完成，论文只报告最终交付物个性化，不声称已定位内部偏移机制。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Compiler 已有机器可读 contract 和固定模板设计，不是让 LLM 对每份输出临时写 rubric。输入是冻结的 case metadata、user-state ledger、证据/权限和四类 contract；流程为：</w:t>
      </w:r>
      <w:r>
        <w:rPr>
          <w:rFonts w:ascii="Courier New" w:hAnsi="Courier New" w:eastAsia="PingFang SC"/>
          <w:color w:val="6A3E00"/>
          <w:sz w:val="20"/>
        </w:rPr>
        <w:t>validate → 按 intent/deliverable/operator/risk 路由模板 → 填入预算/证据/用户参数 → leaf expansion → 校验并冻结 bundle</w:t>
      </w:r>
      <w:r>
        <w:rPr>
          <w:rFonts w:ascii="Calibri" w:hAnsi="Calibri" w:eastAsia="PingFang SC"/>
        </w:rPr>
        <w:t>。Leaf expansion 是在运行前把“适合用户”“备忘录完整”等复合要求拆成可独立观察、带 0/1 或 0/1/2 文字锚点的原子项，不是评分后再细化。当前文件定义接口与端到端示例；自动 validator 和 compiler 是第 1 周实现项。</w:t>
      </w:r>
    </w:p>
    <w:p>
      <w:r>
        <w:rPr>
          <w:rFonts w:ascii="Calibri" w:hAnsi="Calibri" w:eastAsia="PingFang SC"/>
        </w:rPr>
        <w:t xml:space="preserve">固定模板分六层：core 所有 case 必选；personalization 由 task-relevant user facts 和 must-change 激活；intent 由六类研究意图选择；deliverable 由 report / memo / workbook / code / slides / webpage / multi-file 选择；operator 用于 acquire/preserve/use/update 诊断；risk 由 stakes、permission、敏感信息和 must-not 激活。统一的是 leaf schema、适用条件和聚合规则，而不是让所有任务共用一张表。每条 leaf 显式记录 </w:t>
      </w:r>
      <w:r>
        <w:rPr>
          <w:rFonts w:ascii="Courier New" w:hAnsi="Courier New" w:eastAsia="PingFang SC"/>
          <w:color w:val="6A3E00"/>
          <w:sz w:val="20"/>
        </w:rPr>
        <w:t>criterion_id</w:t>
      </w:r>
      <w:r>
        <w:rPr>
          <w:rFonts w:ascii="Calibri" w:hAnsi="Calibri" w:eastAsia="PingFang SC"/>
        </w:rPr>
        <w:t xml:space="preserve">、rubric owner、observable、evidence、scoring anchors、weight、hard gate、judge route 和 </w:t>
      </w:r>
      <w:r>
        <w:rPr>
          <w:rFonts w:ascii="Courier New" w:hAnsi="Courier New" w:eastAsia="PingFang SC"/>
          <w:color w:val="6A3E00"/>
          <w:sz w:val="20"/>
        </w:rPr>
        <w:t>direct_metric_bindings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预定义 library 有 36 个 module：6 Core、9 Personalization、6 Intent、7 Deliverable、4 Operator、4 Risk；每个 case 只激活适用子集。report/memo/table 先以 12–22 active leaves 做主矩阵，code/slides/web/multi-file 先作为 probe。相对 PDR-Bench 的重点不是“维度更多”，而是 module 版本预冻结、每个 personalization leaf 追溯到授权 user fact + must-change、同一 PF bundle 交叉评 matched/swapped，并用 must-hold/must-not 防止差异和过度个性化冒充分数。完整库见 </w:t>
      </w:r>
      <w:r>
        <w:rPr>
          <w:rFonts w:ascii="Courier New" w:hAnsi="Courier New" w:eastAsia="PingFang SC"/>
          <w:color w:val="6A3E00"/>
          <w:sz w:val="20"/>
        </w:rPr>
        <w:t>rubric_module_library.yaml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r>
        <w:rPr>
          <w:rFonts w:ascii="Calibri" w:hAnsi="Calibri" w:eastAsia="PingFang SC"/>
        </w:rPr>
        <w:t>绑定规则固定为：common/intent/deliverable leaves → TQ（事实项同时 → FR）；must-change leaves → 指定用户的 PF；must-hold leaves → TQ + Neutral Invariance；must-not violations → MP / hard gate；clarify leaves → Clarification Correctness，无依据假设另入 MP；operator leaves → 与同前缀 clean control 的诊断差分。库的“全面性”由 content mapping、matched/swapped 区分力、无关 cue invariance、module 去重/消融、权重与 active/NA 分母敏感性、目标用户/专家效度和 residual-error saturation 共同验证，不由 module 数量证明。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  <w:r>
        <w:rPr>
          <w:rFonts w:ascii="Calibri" w:hAnsi="Calibri" w:eastAsia="PingFang SC"/>
        </w:rPr>
        <w:t xml:space="preserve"> CFA 不直接绑定 leaf。用户 a 的同一组冻结 PF leaves 同时评分 (Y_a,Y_b)，用户 b 同理；四个 PF 聚合后计算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Update：</w:t>
      </w:r>
      <w:r>
        <w:rPr>
          <w:rFonts w:ascii="Calibri" w:hAnsi="Calibri" w:eastAsia="PingFang SC"/>
        </w:rPr>
        <w:t xml:space="preserve"> 长程干扰下的适配保留率、动态状态采用正确率与旧状态残留率。</w:t>
      </w:r>
    </w:p>
    <w:p>
      <w:r>
        <w:rPr>
          <w:rFonts w:ascii="Calibri" w:hAnsi="Calibri" w:eastAsia="PingFang SC"/>
        </w:rPr>
        <w:t>主榜先应用 TQ、FR 和关键隐私/安全门槛，再报告 PF-MP、CFA、cue robustness、Retention 和 Update。不将这些指标简单平均成允许相互补偿的总分。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Rubric 还必须通过内容映射、matched/swapped 区分、nuisance invariance、去重/消融、权重敏感性、目标用户/专家效度和 residual-error saturation；未通过的 module 删除、合并或降为探索性分析。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 absolute adaptation evaluation 转向 counterfactual personalization effect identification：用 matched/swapped 交叉评分矩阵和三类预冻结契约识别方向正确、边界受控的用户特异变化；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1–2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冻结 Atlas/schema；完成 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缩小 ontology；删除无稳定用户差异的任务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3–4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真值/契约/rubric；240-unit JudgeBench 与 6-family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无区分力 module 不进主榜；judge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5–6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主矩阵、anchor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冻结 agent；只保留证据充分的过程结论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7–8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统计、覆盖/消融、结果冻结、复现、全文和匿名材料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删除不受支持的支线；不再增加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可靠性不足：</w:t>
      </w:r>
      <w:r>
        <w:rPr>
          <w:rFonts w:ascii="Calibri" w:hAnsi="Calibri" w:eastAsia="PingFang SC"/>
        </w:rPr>
        <w:t xml:space="preserve"> 明确引用 PDR 的 PCA=0.43 与窄校准边界，并运行位置交换、长度匹配、wrong-user swap、关键词/隐私诱饵和弃权测试；这是测量增量，核心方法增量仍是 estimand 转换。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Core，论文仅声称测量最终交付物的用户适配。只有当轨迹审计与受控压力分叉完成时，才报告保持与更新机制。本项目不声称首版覆盖所有 Deep Research 模式，只对 coverage manifest 中标记为 tested 的组合作结论。</w:t>
      </w:r>
    </w:p>
    <w:p>
      <w:pPr>
        <w:sectPr>
          <w:headerReference w:type="default" r:id="rId33"/>
          <w:footerReference w:type="default" r:id="rId34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OpenCompass Team. </w:t>
      </w:r>
      <w:r>
        <w:rPr>
          <w:rFonts w:ascii="Calibri" w:hAnsi="Calibri" w:eastAsia="PingFang SC"/>
          <w:i/>
          <w:sz w:val="15"/>
        </w:rPr>
        <w:t>OpenCompass: A Universal Evaluation Platform for Large Language Models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EvalScope Documentation. </w:t>
      </w:r>
      <w:r>
        <w:rPr>
          <w:rFonts w:ascii="Calibri" w:hAnsi="Calibri" w:eastAsia="PingFang SC"/>
          <w:i/>
          <w:sz w:val="15"/>
        </w:rPr>
        <w:t>Getting Started and Evaluation Backends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Zhang et al. </w:t>
      </w:r>
      <w:r>
        <w:rPr>
          <w:rFonts w:ascii="Calibri" w:hAnsi="Calibri" w:eastAsia="PingFang SC"/>
          <w:i/>
          <w:sz w:val="15"/>
        </w:rPr>
        <w:t>Agent-SafetyBench: Evaluating the Safety of LLM Agents</w:t>
      </w:r>
      <w:r>
        <w:rPr>
          <w:rFonts w:ascii="Calibri" w:hAnsi="Calibri" w:eastAsia="PingFang SC"/>
          <w:sz w:val="15"/>
        </w:rPr>
        <w:t>. arXiv:2412.14470,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>. arXiv:2509.25106,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Wang et al. </w:t>
      </w:r>
      <w:r>
        <w:rPr>
          <w:rFonts w:ascii="Calibri" w:hAnsi="Calibri" w:eastAsia="PingFang SC"/>
          <w:i/>
          <w:sz w:val="15"/>
        </w:rPr>
        <w:t>LiveResearchBench: A Live Benchmark for User-Centric Deep Research in the Wild</w:t>
      </w:r>
      <w:r>
        <w:rPr>
          <w:rFonts w:ascii="Calibri" w:hAnsi="Calibri" w:eastAsia="PingFang SC"/>
          <w:sz w:val="15"/>
        </w:rPr>
        <w:t>. arXiv:2510.14240,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Sharma et al. </w:t>
      </w:r>
      <w:r>
        <w:rPr>
          <w:rFonts w:ascii="Calibri" w:hAnsi="Calibri" w:eastAsia="PingFang SC"/>
          <w:i/>
          <w:sz w:val="15"/>
        </w:rPr>
        <w:t>ResearchRubrics: A Benchmark of Prompts and Rubrics for Evaluating Deep Research Agents</w:t>
      </w:r>
      <w:r>
        <w:rPr>
          <w:rFonts w:ascii="Calibri" w:hAnsi="Calibri" w:eastAsia="PingFang SC"/>
          <w:sz w:val="15"/>
        </w:rPr>
        <w:t>. arXiv:2511.07685,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Starace et al. </w:t>
      </w:r>
      <w:r>
        <w:rPr>
          <w:rFonts w:ascii="Calibri" w:hAnsi="Calibri" w:eastAsia="PingFang SC"/>
          <w:i/>
          <w:sz w:val="15"/>
        </w:rPr>
        <w:t>PaperBench: Evaluating AI's Ability to Replicate AI Research</w:t>
      </w:r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Yoran et al. </w:t>
      </w:r>
      <w:r>
        <w:rPr>
          <w:rFonts w:ascii="Calibri" w:hAnsi="Calibri" w:eastAsia="PingFang SC"/>
          <w:i/>
          <w:sz w:val="15"/>
        </w:rPr>
        <w:t>AssistantBench: Can Web Agents Solve Realistic and Time-Consuming Tasks?</w:t>
      </w:r>
      <w:r>
        <w:rPr>
          <w:rFonts w:ascii="Calibri" w:hAnsi="Calibri" w:eastAsia="PingFang SC"/>
          <w:sz w:val="15"/>
        </w:rPr>
        <w:t xml:space="preserve"> arXiv:2407.15711,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Java et al. </w:t>
      </w:r>
      <w:r>
        <w:rPr>
          <w:rFonts w:ascii="Calibri" w:hAnsi="Calibri" w:eastAsia="PingFang SC"/>
          <w:i/>
          <w:sz w:val="15"/>
        </w:rPr>
        <w:t>Characterizing Deep Research: A Benchmark and Formal Definition</w:t>
      </w:r>
      <w:r>
        <w:rPr>
          <w:rFonts w:ascii="Calibri" w:hAnsi="Calibri" w:eastAsia="PingFang SC"/>
          <w:sz w:val="15"/>
        </w:rPr>
        <w:t>. arXiv:2508.04183,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Abaskohi et al. </w:t>
      </w:r>
      <w:r>
        <w:rPr>
          <w:rFonts w:ascii="Calibri" w:hAnsi="Calibri" w:eastAsia="PingFang SC"/>
          <w:i/>
          <w:sz w:val="15"/>
        </w:rPr>
        <w:t>DRBench: A Realistic Benchmark for Enterprise Deep Research</w:t>
      </w:r>
      <w:r>
        <w:rPr>
          <w:rFonts w:ascii="Calibri" w:hAnsi="Calibri" w:eastAsia="PingFang SC"/>
          <w:sz w:val="15"/>
        </w:rPr>
        <w:t>. arXiv:2510.00172,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Liang et al. </w:t>
      </w:r>
      <w:r>
        <w:rPr>
          <w:rFonts w:ascii="Calibri" w:hAnsi="Calibri" w:eastAsia="PingFang SC"/>
          <w:i/>
          <w:sz w:val="15"/>
        </w:rPr>
        <w:t>Holistic Evaluation of Language Models</w:t>
      </w:r>
      <w:r>
        <w:rPr>
          <w:rFonts w:ascii="Calibri" w:hAnsi="Calibri" w:eastAsia="PingFang SC"/>
          <w:sz w:val="15"/>
        </w:rPr>
        <w:t>. TMLR,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Ribeiro et al. </w:t>
      </w:r>
      <w:r>
        <w:rPr>
          <w:rFonts w:ascii="Calibri" w:hAnsi="Calibri" w:eastAsia="PingFang SC"/>
          <w:i/>
          <w:sz w:val="15"/>
        </w:rPr>
        <w:t>Beyond Accuracy: Behavioral Testing of NLP Models with CheckList</w:t>
      </w:r>
      <w:r>
        <w:rPr>
          <w:rFonts w:ascii="Calibri" w:hAnsi="Calibri" w:eastAsia="PingFang SC"/>
          <w:sz w:val="15"/>
        </w:rPr>
        <w:t>. ACL, 2020.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Reuel et al. </w:t>
      </w:r>
      <w:r>
        <w:rPr>
          <w:rFonts w:ascii="Calibri" w:hAnsi="Calibri" w:eastAsia="PingFang SC"/>
          <w:i/>
          <w:sz w:val="15"/>
        </w:rPr>
        <w:t>BetterBench: Assessing AI Benchmarks, Uncovering Issues, and Establishing Best Practices</w:t>
      </w:r>
      <w:r>
        <w:rPr>
          <w:rFonts w:ascii="Calibri" w:hAnsi="Calibri" w:eastAsia="PingFang SC"/>
          <w:sz w:val="15"/>
        </w:rPr>
        <w:t>. arXiv:2411.12990,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Zhu et al. </w:t>
      </w:r>
      <w:r>
        <w:rPr>
          <w:rFonts w:ascii="Calibri" w:hAnsi="Calibri" w:eastAsia="PingFang SC"/>
          <w:i/>
          <w:sz w:val="15"/>
        </w:rPr>
        <w:t>JudgeLM: Fine-tuned Large Language Models are Scalable Judges</w:t>
      </w:r>
      <w:r>
        <w:rPr>
          <w:rFonts w:ascii="Calibri" w:hAnsi="Calibri" w:eastAsia="PingFang SC"/>
          <w:sz w:val="15"/>
        </w:rPr>
        <w:t>. arXiv:2310.17631,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Huang et al. </w:t>
      </w:r>
      <w:r>
        <w:rPr>
          <w:rFonts w:ascii="Calibri" w:hAnsi="Calibri" w:eastAsia="PingFang SC"/>
          <w:i/>
          <w:sz w:val="15"/>
        </w:rPr>
        <w:t>An Empirical Study of LLM-as-a-Judge for LLM Evaluation</w:t>
      </w:r>
      <w:r>
        <w:rPr>
          <w:rFonts w:ascii="Calibri" w:hAnsi="Calibri" w:eastAsia="PingFang SC"/>
          <w:sz w:val="15"/>
        </w:rPr>
        <w:t>. arXiv:2403.02839,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Zeng et al. </w:t>
      </w:r>
      <w:r>
        <w:rPr>
          <w:rFonts w:ascii="Calibri" w:hAnsi="Calibri" w:eastAsia="PingFang SC"/>
          <w:i/>
          <w:sz w:val="15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5"/>
        </w:rPr>
        <w:t>. arXiv:2607.27056,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Qian et al. </w:t>
      </w:r>
      <w:r>
        <w:rPr>
          <w:rFonts w:ascii="Calibri" w:hAnsi="Calibri" w:eastAsia="PingFang SC"/>
          <w:i/>
          <w:sz w:val="15"/>
        </w:rPr>
        <w:t>Toward User-Conditioned Evaluation of Personal LLM Agents under Temporal Interventions</w:t>
      </w:r>
      <w:r>
        <w:rPr>
          <w:rFonts w:ascii="Calibri" w:hAnsi="Calibri" w:eastAsia="PingFang SC"/>
          <w:sz w:val="15"/>
        </w:rPr>
        <w:t>. arXiv:2607.21635,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Yang et al. </w:t>
      </w:r>
      <w:r>
        <w:rPr>
          <w:rFonts w:ascii="Calibri" w:hAnsi="Calibri" w:eastAsia="PingFang SC"/>
          <w:i/>
          <w:sz w:val="15"/>
        </w:rPr>
        <w:t>PersonaTrail: Benchmarking Personalized Web Agents through Browsing Trails</w:t>
      </w:r>
      <w:r>
        <w:rPr>
          <w:rFonts w:ascii="Calibri" w:hAnsi="Calibri" w:eastAsia="PingFang SC"/>
          <w:sz w:val="15"/>
        </w:rPr>
        <w:t>. arXiv:2607.20482,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Todisco et al. </w:t>
      </w:r>
      <w:r>
        <w:rPr>
          <w:rFonts w:ascii="Calibri" w:hAnsi="Calibri" w:eastAsia="PingFang SC"/>
          <w:i/>
          <w:sz w:val="15"/>
        </w:rPr>
        <w:t>TARS: A Theory-of-Mind Agent for Personalized In-IDE Code Comprehension</w:t>
      </w:r>
      <w:r>
        <w:rPr>
          <w:rFonts w:ascii="Calibri" w:hAnsi="Calibri" w:eastAsia="PingFang SC"/>
          <w:sz w:val="15"/>
        </w:rPr>
        <w:t>. arXiv:2607.15948,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Yang. </w:t>
      </w:r>
      <w:r>
        <w:rPr>
          <w:rFonts w:ascii="Calibri" w:hAnsi="Calibri" w:eastAsia="PingFang SC"/>
          <w:i/>
          <w:sz w:val="15"/>
        </w:rPr>
        <w:t>Self-Aware Recursively Self-Improving Agents for Personal Singularity</w:t>
      </w:r>
      <w:r>
        <w:rPr>
          <w:rFonts w:ascii="Calibri" w:hAnsi="Calibri" w:eastAsia="PingFang SC"/>
          <w:sz w:val="15"/>
        </w:rPr>
        <w:t>. arXiv:2607.12254,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Mao et al. </w:t>
      </w:r>
      <w:r>
        <w:rPr>
          <w:rFonts w:ascii="Calibri" w:hAnsi="Calibri" w:eastAsia="PingFang SC"/>
          <w:i/>
          <w:sz w:val="15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5"/>
        </w:rPr>
        <w:t>. arXiv:2607.10526,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Yang et al. </w:t>
      </w:r>
      <w:r>
        <w:rPr>
          <w:rFonts w:ascii="Calibri" w:hAnsi="Calibri" w:eastAsia="PingFang SC"/>
          <w:i/>
          <w:sz w:val="15"/>
        </w:rPr>
        <w:t>APeB: Benchmarking Personalization Ability of Large Language Model Agents</w:t>
      </w:r>
      <w:r>
        <w:rPr>
          <w:rFonts w:ascii="Calibri" w:hAnsi="Calibri" w:eastAsia="PingFang SC"/>
          <w:sz w:val="15"/>
        </w:rPr>
        <w:t>. arXiv:2607.03162,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Salemi et al.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LaMP: When Large Language Models Meet Personalization</w:t>
        </w:r>
      </w:hyperlink>
      <w:r>
        <w:rPr>
          <w:rFonts w:ascii="Calibri" w:hAnsi="Calibri" w:eastAsia="PingFang SC"/>
          <w:sz w:val="15"/>
        </w:rPr>
        <w:t>. ACL,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Zhao et al.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PersonaLens: A Benchmark for Personalization Evaluation in Conversational AI Assistants</w:t>
        </w:r>
      </w:hyperlink>
      <w:r>
        <w:rPr>
          <w:rFonts w:ascii="Calibri" w:hAnsi="Calibri" w:eastAsia="PingFang SC"/>
          <w:sz w:val="15"/>
        </w:rPr>
        <w:t>. Findings of ACL,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Hao et al.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Evaluating Personalized Tool-Augmented LLMs from the Perspectives of Personalization and Proactivity</w:t>
        </w:r>
      </w:hyperlink>
      <w:r>
        <w:rPr>
          <w:rFonts w:ascii="Calibri" w:hAnsi="Calibri" w:eastAsia="PingFang SC"/>
          <w:sz w:val="15"/>
        </w:rPr>
        <w:t>. ACL,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Jiang et al.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Know Me, Respond to Me: Benchmarking LLMs for Dynamic User Profiling and Personalized Responses at Scale</w:t>
        </w:r>
      </w:hyperlink>
      <w:r>
        <w:rPr>
          <w:rFonts w:ascii="Calibri" w:hAnsi="Calibri" w:eastAsia="PingFang SC"/>
          <w:sz w:val="15"/>
        </w:rPr>
        <w:t>. arXiv:2504.14225,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Li et al.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Personalized Deep Research: A User-Centric Framework, Dataset, and Hybrid Evaluation for Knowledge Discovery</w:t>
        </w:r>
      </w:hyperlink>
      <w:r>
        <w:rPr>
          <w:rFonts w:ascii="Calibri" w:hAnsi="Calibri" w:eastAsia="PingFang SC"/>
          <w:sz w:val="15"/>
        </w:rPr>
        <w:t>. arXiv:2605.10530,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Balepur et al.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Language Models Don't Know What You Want: Evaluating Personalization in Deep Research Needs Real Users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Liang et al.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Learning Personalized Agents from Human Feedback</w:t>
        </w:r>
      </w:hyperlink>
      <w:r>
        <w:rPr>
          <w:rFonts w:ascii="Calibri" w:hAnsi="Calibri" w:eastAsia="PingFang SC"/>
          <w:sz w:val="15"/>
        </w:rPr>
        <w:t>. arXiv:2602.16173,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Shen et al.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Mem2ActBench: A Benchmark for Evaluating Long-Term Memory Utilization in Task-Oriented Autonomous Agents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Guo et al.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When Personalization Legitimizes Risks: Uncovering Safety Vulnerabilities in Personalized Dialogue Agents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[32] Weeber et al. </w:t>
      </w:r>
      <w:hyperlink r:id="rId3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One Persona, Many Cues, Different Results: How Sociodemographic Cues Impact LLM Personalization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[33] Qiu et al. </w:t>
      </w:r>
      <w:hyperlink r:id="rId3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Preference-Aware Rubric Learning for Personalized Evaluation</w:t>
        </w:r>
      </w:hyperlink>
      <w:r>
        <w:rPr>
          <w:rFonts w:ascii="Calibri" w:hAnsi="Calibri" w:eastAsia="PingFang SC"/>
          <w:sz w:val="15"/>
        </w:rPr>
        <w:t>. arXiv:2605.31545,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510.14240" TargetMode="External"/><Relationship Id="rId19" Type="http://schemas.openxmlformats.org/officeDocument/2006/relationships/hyperlink" Target="https://openai.com/index/paperbench/" TargetMode="External"/><Relationship Id="rId20" Type="http://schemas.openxmlformats.org/officeDocument/2006/relationships/hyperlink" Target="https://arxiv.org/abs/2605.19276" TargetMode="External"/><Relationship Id="rId21" Type="http://schemas.openxmlformats.org/officeDocument/2006/relationships/hyperlink" Target="https://evalscope.readthedocs.io/en/refact_readme/get_started/introduction.html" TargetMode="External"/><Relationship Id="rId22" Type="http://schemas.openxmlformats.org/officeDocument/2006/relationships/hyperlink" Target="https://arxiv.org/abs/2607.27056" TargetMode="External"/><Relationship Id="rId23" Type="http://schemas.openxmlformats.org/officeDocument/2006/relationships/hyperlink" Target="https://arxiv.org/abs/2607.20482" TargetMode="External"/><Relationship Id="rId24" Type="http://schemas.openxmlformats.org/officeDocument/2006/relationships/hyperlink" Target="https://arxiv.org/abs/2607.03162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rxiv.org/abs/2607.15948" TargetMode="External"/><Relationship Id="rId27" Type="http://schemas.openxmlformats.org/officeDocument/2006/relationships/hyperlink" Target="https://arxiv.org/abs/2602.16173" TargetMode="External"/><Relationship Id="rId28" Type="http://schemas.openxmlformats.org/officeDocument/2006/relationships/hyperlink" Target="https://arxiv.org/abs/2607.10526" TargetMode="External"/><Relationship Id="rId29" Type="http://schemas.openxmlformats.org/officeDocument/2006/relationships/hyperlink" Target="https://aclanthology.org/2026.acl-long.1260/" TargetMode="External"/><Relationship Id="rId30" Type="http://schemas.openxmlformats.org/officeDocument/2006/relationships/header" Target="header2.xml"/><Relationship Id="rId31" Type="http://schemas.openxmlformats.org/officeDocument/2006/relationships/footer" Target="footer2.xml"/><Relationship Id="rId32" Type="http://schemas.openxmlformats.org/officeDocument/2006/relationships/image" Target="media/image1.png"/><Relationship Id="rId33" Type="http://schemas.openxmlformats.org/officeDocument/2006/relationships/header" Target="header3.xml"/><Relationship Id="rId34" Type="http://schemas.openxmlformats.org/officeDocument/2006/relationships/footer" Target="footer3.xml"/><Relationship Id="rId35" Type="http://schemas.openxmlformats.org/officeDocument/2006/relationships/hyperlink" Target="https://aclanthology.org/2026.acl-long.2079/" TargetMode="External"/><Relationship Id="rId36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