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v0.29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8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固定任务与证据，只改变目标用户；用 matched/swapped 与三类契约判断输出是否按正确方向变化，再比较不同 agent 在 S0–S3 压力下的表现。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编译接口、叶节点 schema 和聚合规则</w:t>
      </w:r>
      <w:r>
        <w:rPr>
          <w:rFonts w:ascii="Calibri" w:hAnsi="Calibri" w:eastAsia="PingFang SC"/>
        </w:rPr>
        <w:t>；具体评价项由 case 元数据和预先写好的评价契约选择。仓库中有六个相互衔接的机器可读对象：</w:t>
      </w:r>
      <w:r>
        <w:rPr>
          <w:rFonts w:ascii="Courier New" w:hAnsi="Courier New" w:eastAsia="PingFang SC"/>
          <w:color w:val="6A3E00"/>
          <w:sz w:val="20"/>
        </w:rPr>
        <w:t>case.schema.yaml</w:t>
      </w:r>
      <w:r>
        <w:rPr>
          <w:rFonts w:ascii="Calibri" w:hAnsi="Calibri" w:eastAsia="PingFang SC"/>
        </w:rPr>
        <w:t xml:space="preserve"> 描述任务、用户、环境和 agent；</w:t>
      </w:r>
      <w:r>
        <w:rPr>
          <w:rFonts w:ascii="Courier New" w:hAnsi="Courier New" w:eastAsia="PingFang SC"/>
          <w:color w:val="6A3E00"/>
          <w:sz w:val="20"/>
        </w:rPr>
        <w:t>rubric_template_registry.yaml</w:t>
      </w:r>
      <w:r>
        <w:rPr>
          <w:rFonts w:ascii="Calibri" w:hAnsi="Calibri" w:eastAsia="PingFang SC"/>
        </w:rPr>
        <w:t xml:space="preserve"> 保存路由规则；</w:t>
      </w:r>
      <w:r>
        <w:rPr>
          <w:rFonts w:ascii="Courier New" w:hAnsi="Courier New" w:eastAsia="PingFang SC"/>
          <w:color w:val="6A3E00"/>
          <w:sz w:val="20"/>
        </w:rPr>
        <w:t>rubric_module_library.yaml</w:t>
      </w:r>
      <w:r>
        <w:rPr>
          <w:rFonts w:ascii="Calibri" w:hAnsi="Calibri" w:eastAsia="PingFang SC"/>
        </w:rPr>
        <w:t xml:space="preserve"> 预注册 36 个可组合 module；</w:t>
      </w:r>
      <w:r>
        <w:rPr>
          <w:rFonts w:ascii="Courier New" w:hAnsi="Courier New" w:eastAsia="PingFang SC"/>
          <w:color w:val="6A3E00"/>
          <w:sz w:val="20"/>
        </w:rPr>
        <w:t>rubric_leaf.schema.yaml</w:t>
      </w:r>
      <w:r>
        <w:rPr>
          <w:rFonts w:ascii="Calibri" w:hAnsi="Calibri" w:eastAsia="PingFang SC"/>
        </w:rPr>
        <w:t xml:space="preserve"> 规定原子标准字段；</w:t>
      </w:r>
      <w:r>
        <w:rPr>
          <w:rFonts w:ascii="Courier New" w:hAnsi="Courier New" w:eastAsia="PingFang SC"/>
          <w:color w:val="6A3E00"/>
          <w:sz w:val="20"/>
        </w:rPr>
        <w:t>metric_binding.schema.yaml</w:t>
      </w:r>
      <w:r>
        <w:rPr>
          <w:rFonts w:ascii="Calibri" w:hAnsi="Calibri" w:eastAsia="PingFang SC"/>
        </w:rPr>
        <w:t xml:space="preserve"> 规定 leaf 如何进入 TQ、FR、PF、MP 及派生指标；</w:t>
      </w:r>
      <w:r>
        <w:rPr>
          <w:rFonts w:ascii="Courier New" w:hAnsi="Courier New" w:eastAsia="PingFang SC"/>
          <w:color w:val="6A3E00"/>
          <w:sz w:val="20"/>
        </w:rPr>
        <w:t>data_factory.protocol.yaml</w:t>
      </w:r>
      <w:r>
        <w:rPr>
          <w:rFonts w:ascii="Calibri" w:hAnsi="Calibri" w:eastAsia="PingFang SC"/>
        </w:rPr>
        <w:t xml:space="preserve"> 规定来源映射、构造阶段、anchor 对照和环境开工顺序。v0.29 冻结的是 compiler contract、module library 与贯通示例；自动 validator、模板路由器和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契约；（4）证据包与允许访问范围；（5）版本化模板库。它在任何被测输出产生前按五步运行：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等字段选择适用模板；</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ID、允许披露范围等参数填入模板；</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v0.29 的预定义 library 包含 36 个 module，而不是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0，表示两个用户分别更适合自己的交付物版本。但它不能解释模型为什么做到，也不能自动排除长度等干扰，因此还要报告：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主结果使用按基础任务聚类的 bootstrap 95% 置信区间。模型比较使用交叉分类混合效应模型，至少包含 agent、用户信息渠道、压力强度及其交互，并为基础任务和用户设置随机截距。多重比较使用 Holm 校正。除平均数外，还报告中位数、最差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4"/>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4"/>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4"/>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4"/>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4"/>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5"/>
        </w:numPr>
        <w:spacing w:after="80" w:line="290" w:lineRule="auto"/>
        <w:ind w:left="540" w:hanging="279"/>
      </w:pPr>
      <w:r>
        <w:rPr>
          <w:rFonts w:ascii="Calibri" w:hAnsi="Calibri" w:eastAsia="PingFang SC"/>
        </w:rPr>
        <w:t>Task only；</w:t>
      </w:r>
    </w:p>
    <w:p>
      <w:pPr>
        <w:numPr>
          <w:ilvl w:val="0"/>
          <w:numId w:val="25"/>
        </w:numPr>
        <w:spacing w:after="80" w:line="290" w:lineRule="auto"/>
        <w:ind w:left="540" w:hanging="279"/>
      </w:pPr>
      <w:r>
        <w:rPr>
          <w:rFonts w:ascii="Calibri" w:hAnsi="Calibri" w:eastAsia="PingFang SC"/>
        </w:rPr>
        <w:t>Oracle structured persona；</w:t>
      </w:r>
    </w:p>
    <w:p>
      <w:pPr>
        <w:numPr>
          <w:ilvl w:val="0"/>
          <w:numId w:val="25"/>
        </w:numPr>
        <w:spacing w:after="80" w:line="290" w:lineRule="auto"/>
        <w:ind w:left="540" w:hanging="279"/>
      </w:pPr>
      <w:r>
        <w:rPr>
          <w:rFonts w:ascii="Calibri" w:hAnsi="Calibri" w:eastAsia="PingFang SC"/>
        </w:rPr>
        <w:t>语义等价的自然对话历史；</w:t>
      </w:r>
    </w:p>
    <w:p>
      <w:pPr>
        <w:numPr>
          <w:ilvl w:val="0"/>
          <w:numId w:val="25"/>
        </w:numPr>
        <w:spacing w:after="80" w:line="290" w:lineRule="auto"/>
        <w:ind w:left="540" w:hanging="279"/>
      </w:pPr>
      <w:r>
        <w:rPr>
          <w:rFonts w:ascii="Calibri" w:hAnsi="Calibri" w:eastAsia="PingFang SC"/>
        </w:rPr>
        <w:t>历史 + 检索式 memory；</w:t>
      </w:r>
    </w:p>
    <w:p>
      <w:pPr>
        <w:numPr>
          <w:ilvl w:val="0"/>
          <w:numId w:val="25"/>
        </w:numPr>
        <w:spacing w:after="80" w:line="290" w:lineRule="auto"/>
        <w:ind w:left="540" w:hanging="279"/>
      </w:pPr>
      <w:r>
        <w:rPr>
          <w:rFonts w:ascii="Calibri" w:hAnsi="Calibri" w:eastAsia="PingFang SC"/>
        </w:rPr>
        <w:t>主动澄清；</w:t>
      </w:r>
    </w:p>
    <w:p>
      <w:pPr>
        <w:numPr>
          <w:ilvl w:val="0"/>
          <w:numId w:val="25"/>
        </w:numPr>
        <w:spacing w:after="80" w:line="290" w:lineRule="auto"/>
        <w:ind w:left="540" w:hanging="279"/>
      </w:pPr>
      <w:r>
        <w:rPr>
          <w:rFonts w:ascii="Calibri" w:hAnsi="Calibri" w:eastAsia="PingFang SC"/>
        </w:rPr>
        <w:t>Persona shuffled（目标用户不变、只交换可见 signal bundle 的负对照）；</w:t>
      </w:r>
    </w:p>
    <w:p>
      <w:pPr>
        <w:numPr>
          <w:ilvl w:val="0"/>
          <w:numId w:val="25"/>
        </w:numPr>
        <w:spacing w:after="80" w:line="290" w:lineRule="auto"/>
        <w:ind w:left="540" w:hanging="279"/>
      </w:pPr>
      <w:r>
        <w:rPr>
          <w:rFonts w:ascii="Calibri" w:hAnsi="Calibri" w:eastAsia="PingFang SC"/>
        </w:rPr>
        <w:t>Irrelevant persona（无关属性，过度个性化探针）；</w:t>
      </w:r>
    </w:p>
    <w:p>
      <w:pPr>
        <w:numPr>
          <w:ilvl w:val="0"/>
          <w:numId w:val="25"/>
        </w:numPr>
        <w:spacing w:after="80" w:line="290" w:lineRule="auto"/>
        <w:ind w:left="540" w:hanging="279"/>
      </w:pPr>
      <w:r>
        <w:rPr>
          <w:rFonts w:ascii="Calibri" w:hAnsi="Calibri" w:eastAsia="PingFang SC"/>
        </w:rPr>
        <w:t>Contradictory/dated history（冲突与时效）；</w:t>
      </w:r>
    </w:p>
    <w:p>
      <w:pPr>
        <w:numPr>
          <w:ilvl w:val="0"/>
          <w:numId w:val="25"/>
        </w:numPr>
        <w:spacing w:after="80" w:line="290" w:lineRule="auto"/>
        <w:ind w:left="540" w:hanging="279"/>
      </w:pPr>
      <w:r>
        <w:rPr>
          <w:rFonts w:ascii="Calibri" w:hAnsi="Calibri" w:eastAsia="PingFang SC"/>
        </w:rPr>
        <w:t>Context dilution（不同长度和位置）；</w:t>
      </w:r>
    </w:p>
    <w:p>
      <w:pPr>
        <w:numPr>
          <w:ilvl w:val="0"/>
          <w:numId w:val="25"/>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6"/>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6"/>
        </w:numPr>
        <w:spacing w:after="80" w:line="290" w:lineRule="auto"/>
        <w:ind w:left="540" w:hanging="279"/>
      </w:pPr>
      <w:r>
        <w:rPr>
          <w:rFonts w:ascii="Calibri" w:hAnsi="Calibri" w:eastAsia="PingFang SC"/>
          <w:b/>
        </w:rPr>
        <w:t>Signal acquisition board</w:t>
      </w:r>
      <w:r>
        <w:rPr>
          <w:rFonts w:ascii="Calibri" w:hAnsi="Calibri" w:eastAsia="PingFang SC"/>
        </w:rPr>
        <w:t>：分别报告 structured persona、natural history、clarification 和 workspace/history 的 CFA；Worst-view CFA 与 Cue Gap 只在 equivalence-audited provided views 上计算，并另报 Clarification Value。</w:t>
      </w:r>
    </w:p>
    <w:p>
      <w:pPr>
        <w:numPr>
          <w:ilvl w:val="0"/>
          <w:numId w:val="26"/>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6"/>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7"/>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7"/>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7"/>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7"/>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7"/>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7"/>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8"/>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8"/>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8"/>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8"/>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8"/>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8"/>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8"/>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8"/>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8"/>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总览：从用户信号到可审计的个性化效应。</w:t>
      </w:r>
      <w:r>
        <w:rPr>
          <w:rFonts w:ascii="Calibri" w:hAnsi="Calibri" w:eastAsia="PingFang SC"/>
        </w:rPr>
        <w:t xml:space="preserve"> 使用从左到右的五段流程：</w:t>
      </w:r>
      <w:r>
        <w:rPr>
          <w:rFonts w:ascii="Courier New" w:hAnsi="Courier New" w:eastAsia="PingFang SC"/>
          <w:color w:val="6A3E00"/>
          <w:sz w:val="20"/>
        </w:rPr>
        <w:t>Task/Evidence + paired user state</w:t>
      </w:r>
      <w:r>
        <w:rPr>
          <w:rFonts w:ascii="Calibri" w:hAnsi="Calibri" w:eastAsia="PingFang SC"/>
        </w:rPr>
        <w:t xml:space="preserve"> → </w:t>
      </w:r>
      <w:r>
        <w:rPr>
          <w:rFonts w:ascii="Courier New" w:hAnsi="Courier New" w:eastAsia="PingFang SC"/>
          <w:color w:val="6A3E00"/>
          <w:sz w:val="20"/>
        </w:rPr>
        <w:t>signal view + execution environment</w:t>
      </w:r>
      <w:r>
        <w:rPr>
          <w:rFonts w:ascii="Calibri" w:hAnsi="Calibri" w:eastAsia="PingFang SC"/>
        </w:rPr>
        <w:t xml:space="preserve"> → </w:t>
      </w:r>
      <w:r>
        <w:rPr>
          <w:rFonts w:ascii="Courier New" w:hAnsi="Courier New" w:eastAsia="PingFang SC"/>
          <w:color w:val="6A3E00"/>
          <w:sz w:val="20"/>
        </w:rPr>
        <w:t>agent system</w:t>
      </w:r>
      <w:r>
        <w:rPr>
          <w:rFonts w:ascii="Calibri" w:hAnsi="Calibri" w:eastAsia="PingFang SC"/>
        </w:rPr>
        <w:t xml:space="preserve"> → </w:t>
      </w:r>
      <w:r>
        <w:rPr>
          <w:rFonts w:ascii="Courier New" w:hAnsi="Courier New" w:eastAsia="PingFang SC"/>
          <w:color w:val="6A3E00"/>
          <w:sz w:val="20"/>
        </w:rPr>
        <w:t>matched/swapped artifacts</w:t>
      </w:r>
      <w:r>
        <w:rPr>
          <w:rFonts w:ascii="Calibri" w:hAnsi="Calibri" w:eastAsia="PingFang SC"/>
        </w:rPr>
        <w:t xml:space="preserve"> → </w:t>
      </w:r>
      <w:r>
        <w:rPr>
          <w:rFonts w:ascii="Courier New" w:hAnsi="Courier New" w:eastAsia="PingFang SC"/>
          <w:color w:val="6A3E00"/>
          <w:sz w:val="20"/>
        </w:rPr>
        <w:t>TQ/FR gate + CFA/contracts + four leaderboard profiles</w:t>
      </w:r>
      <w:r>
        <w:rPr>
          <w:rFonts w:ascii="Calibri" w:hAnsi="Calibri" w:eastAsia="PingFang SC"/>
        </w:rPr>
        <w:t>。Atlas 五个平面放在顶部作为 case 条件带，S0–S3 anchor stress 与 JudgeBench 放在底部作为两条验证支线。这张图回答“benchmark 整体如何运行”，不塞入所有 taxonomy 叶节点。</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2–3 个 minimal user edits；B 展示同一 ledger 的 structured persona、natural history 和 clarification 三个 signal views；C 展示 </w:t>
      </w:r>
      <w:r>
        <w:rPr>
          <w:rFonts w:ascii="Courier New" w:hAnsi="Courier New" w:eastAsia="PingFang SC"/>
          <w:color w:val="6A3E00"/>
          <w:sz w:val="20"/>
        </w:rPr>
        <w:t>metadata + contracts → template routing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PF_swapped</w:t>
      </w:r>
      <w:r>
        <w:rPr>
          <w:rFonts w:ascii="Calibri" w:hAnsi="Calibri" w:eastAsia="PingFang SC"/>
        </w:rPr>
        <w:t xml:space="preserve">、纵轴为 </w:t>
      </w:r>
      <w:r>
        <w:rPr>
          <w:rFonts w:ascii="Courier New" w:hAnsi="Courier New" w:eastAsia="PingFang SC"/>
          <w:color w:val="6A3E00"/>
          <w:sz w:val="20"/>
        </w:rPr>
        <w:t>PF_matched</w:t>
      </w:r>
      <w:r>
        <w:rPr>
          <w:rFonts w:ascii="Calibri" w:hAnsi="Calibri" w:eastAsia="PingFang SC"/>
        </w:rPr>
        <w:t xml:space="preserve">，45° 对角线表示没有跨用户优势；离对角线越远且位于上方，说明 matched 版本相对 swapped 版本的用户特异价值越强。点的实心/空心只表示是否通过 TQ/FR gate，不用颜色重复编码质量。B 用 forest/dot plot 报各 agent 的 CFA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cost–CFA Pareto frontier。A–D 分别对应 estimand、不确定性、能力拓扑和效率，不合成单一总分。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w:t>
      </w:r>
      <w:r>
        <w:rPr>
          <w:rFonts w:ascii="Courier New" w:hAnsi="Courier New" w:eastAsia="PingFang SC"/>
          <w:color w:val="6A3E00"/>
          <w:sz w:val="20"/>
        </w:rPr>
        <w:t>PF_matched</w:t>
      </w:r>
      <w:r>
        <w:rPr>
          <w:rFonts w:ascii="Calibri" w:hAnsi="Calibri" w:eastAsia="PingFang SC"/>
        </w:rPr>
        <w:t>、</w:t>
      </w:r>
      <w:r>
        <w:rPr>
          <w:rFonts w:ascii="Courier New" w:hAnsi="Courier New" w:eastAsia="PingFang SC"/>
          <w:color w:val="6A3E00"/>
          <w:sz w:val="20"/>
        </w:rPr>
        <w:t>PF_swapped</w:t>
      </w:r>
      <w:r>
        <w:rPr>
          <w:rFonts w:ascii="Calibri" w:hAnsi="Calibri" w:eastAsia="PingFang SC"/>
        </w:rPr>
        <w:t>、MP、CFA、Worst-view CFA、Neutral Invariance、cost 和 eligibility。E1/E2/E3 分块，商业产品榜与受控 harness 榜不混排；报告置信区间或标准误，而不是只报点估计。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plot、描述性的完整 </w:t>
      </w:r>
      <w:r>
        <w:rPr>
          <w:rFonts w:ascii="Courier New" w:hAnsi="Courier New" w:eastAsia="PingFang SC"/>
          <w:color w:val="6A3E00"/>
          <w:sz w:val="20"/>
        </w:rPr>
        <w:t>3 strata × 6 intents</w:t>
      </w:r>
      <w:r>
        <w:rPr>
          <w:rFonts w:ascii="Calibri" w:hAnsi="Calibri" w:eastAsia="PingFang SC"/>
        </w:rPr>
        <w:t xml:space="preserve"> 交叉格、deliverable coverage heatmap、八个 anchor 的独立 S0–S3 曲线、clarification value/turn、retention/update 曲线、多标签 failure co-occurrence UpSet plot、各语言/用户群切片，以及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3">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4">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5">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25">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8">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9">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40">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41">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2">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3">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4">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5">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6">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7">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8">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9">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50">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51">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2">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3">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4">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67">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66">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68">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69">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5">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6">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7">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58">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9">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60">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61">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11">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13">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12">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19">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14">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15">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3">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26">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7">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20">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21">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22">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23">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17">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16">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18">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2">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6">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7">
        <w:r>
          <w:rPr>
            <w:rFonts w:ascii="Calibri" w:hAnsi="Calibri" w:eastAsia="PingFang SC"/>
            <w:color w:val="2E74B5"/>
            <w:u w:val="single"/>
            <w:sz w:val="16"/>
            <w:szCs w:val="16"/>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