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v0.29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从 absolute adaptation evaluation 转向 counterfactual personalization effect identification：测同一任务下哪份结果更适合哪位用户。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Research。我们要补的不是又一块能力，而是一个结果识别问题：</w:t>
      </w:r>
      <w:r>
        <w:rPr>
          <w:rFonts w:ascii="Calibri" w:hAnsi="Calibri" w:eastAsia="PingFang SC"/>
          <w:b/>
        </w:rPr>
        <w:t>同一任务和证据下，agent 能不能为不同用户交付不同但都正确、且各自更适合目标用户的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task/persona-conditioned P-Score 已经能够评价给定用户条件下的报告适配质量。</w:t>
      </w:r>
    </w:p>
    <w:p>
      <w:r>
        <w:rPr>
          <w:rFonts w:ascii="Calibri" w:hAnsi="Calibri" w:eastAsia="PingFang SC"/>
        </w:rPr>
        <w:t xml:space="preserve">因此，DeepAlign 的创新不是把 PDR-Bench 的 rubric 做得更细，而是把估计对象从 </w:t>
      </w:r>
      <w:r>
        <w:rPr>
          <w:rFonts w:ascii="Calibri" w:hAnsi="Calibri" w:eastAsia="PingFang SC"/>
          <w:b/>
        </w:rPr>
        <w:t>absolute adaptation evaluation</w:t>
      </w:r>
      <w:r>
        <w:rPr>
          <w:rFonts w:ascii="Calibri" w:hAnsi="Calibri" w:eastAsia="PingFang SC"/>
        </w:rPr>
        <w:t xml:space="preserve"> 改为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：固定任务、证据、工具和预算，只交换两个都合理的用户；让两套用户 rubric 交叉评价两份交付物，并用预冻结 must-change / must-hold / must-not 检查必要变化、共同不变项和禁止过度推断。PDR 的 judge 仍有可靠性边界：最佳 PCA=0.43，校准只有 15 个 query/两个 agent，且动态 criterion、非 target-user 人评、复合事实核验链和 P/Q/R 补偿式聚合均需额外审计。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swapped，同时事实和共同质量不下降，才支持“交付物对目标用户具有反事实特异性”。这不证明模型内部真正理解了用户；还需让同一 user-state 以 persona、自然历史、澄清对话和去关键词改写表达，检查核心结论是否稳定。不同 persona cue 会改变测量结论，</w:t>
      </w:r>
      <w:hyperlink r:id="rId20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r>
        <w:rPr>
          <w:rFonts w:ascii="Calibri" w:hAnsi="Calibri" w:eastAsia="PingFang SC"/>
        </w:rPr>
        <w:t xml:space="preserve"> 个性化 rubric 也应同时检查代表性、一致性和区分力。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[22]</w:t>
        </w:r>
      </w:hyperlink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至少 20% 输出；专家评事实，目标用户评 matched/swapped；加关键失败仲裁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识别结果特异性。</w:t>
      </w:r>
    </w:p>
    <w:p>
      <w:pPr>
        <w:sectPr>
          <w:headerReference w:type="default" r:id="rId22"/>
          <w:footerReference w:type="default" r:id="rId2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Update：用户状态按任务脚本变化后，能否采用当前真值并停止使用旧状态。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r>
        <w:rPr>
          <w:rFonts w:ascii="Calibri" w:hAnsi="Calibri" w:eastAsia="PingFang SC"/>
        </w:rPr>
        <w:t>每个 family 的构造顺序固定为：真实需求 seed → 冻结共同 task/evidence/deliverable → 标注任务坐标 → 设置难度旋钮 → 配两个都自然的用户 → 冻结差异契约 → matched/swapped pilot。Family 是受控实验蓝图，不是“旅行类”这样的主题标签。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实操采用：真实 source record → task-relevant axes → Ua/Ub 共享核心 → 只改 2–3 个决策相关字段 → fact-to-contract map → 从同一 ledger 编译 persona/history/clarification → wrong-user/irrelevant/stale 负对照 → 原用户、相似用户、专家验证。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agent：M1 商业 Deep Research、M2 统一搜索/工具 harness、M3 可复现开源 DRA；code、multi-agent、memory-enhanced 只作适用 anchor 的架构 probe。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8 个 anchor 固定覆盖日常决策、学习职业、金融信息、健康信息、企业采购/合规、软件生产、学术前沿、政策传播。所有 anchor 都有 clean + persona swap + irrelevant-signal 配对；其他 failure mode 用平衡不完全区组分配。跨任务比较某种 perturbation 时至少覆盖 4 个适用 anchor；2 个只算探索性复现。</w:t>
      </w:r>
    </w:p>
    <w:p>
      <w:r>
        <w:rPr>
          <w:rFonts w:ascii="Calibri" w:hAnsi="Calibri" w:eastAsia="PingFang SC"/>
        </w:rPr>
        <w:t xml:space="preserve">每个 anchor 跑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复合扰动</w:t>
      </w:r>
      <w:r>
        <w:rPr>
          <w:rFonts w:ascii="Calibri" w:hAnsi="Calibri" w:eastAsia="PingFang SC"/>
        </w:rPr>
        <w:t>。难度由 evidence、signal、horizon、handoff、permission、counterfactual subtlety 六维记录；risk、failure mode 和强度不合并成一个分数。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 和旧状态残留率；同时报告 TQ、事实性、隐私和长度副作用。</w:t>
      </w:r>
    </w:p>
    <w:p>
      <w:r>
        <w:rPr>
          <w:rFonts w:ascii="Calibri" w:hAnsi="Calibri" w:eastAsia="PingFang SC"/>
        </w:rPr>
        <w:t>三类运行环境实操为：E1 Frozen Harness 使用只读快照和统一预算，形成因果主榜；E2 Live Product/Web 使用原生工具并记录版本、日期、地区和 URL 快照，形成产品榜；E3 Stateful Sandbox 在固定 checkpoint 注入冲突、handoff 和动态更新，形成压力与机制榜。它们与 agent 类型正交，需统一 reset/signal/checkpoint/event/artifact/trace adapter。</w:t>
      </w:r>
    </w:p>
    <w:p>
      <w:r>
        <w:rPr>
          <w:rFonts w:ascii="Calibri" w:hAnsi="Calibri" w:eastAsia="PingFang SC"/>
        </w:rPr>
        <w:t>开工顺序：先用 2 family × 2 agent 跑通 E1；再用 1 个 anchor 跑通 E3 checkpoint/conflict/update；最后做 1 个 E2 产品 adapter smoke test。三条轨道不同时搭满。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case metadata + user ledger + contracts + evidence/permission</w:t>
        <w:br/>
        <w:t>→ 选择 Core / Personalization / Intent / Deliverable / Operator / Risk 模板</w:t>
        <w:br/>
        <w:t>→ 填入 case 参数 → leaf expansion → 校验 → 冻结 rubric bundle</w:t>
      </w:r>
    </w:p>
    <w:p>
      <w:r>
        <w:rPr>
          <w:rFonts w:ascii="Calibri" w:hAnsi="Calibri" w:eastAsia="PingFang SC"/>
        </w:rPr>
        <w:t>有六个相互衔接的机器可读对象：case schema、固定模板 registry、36-module library、固定 leaf schema、metric binding schema 和 data-factory protocol。模板路由随元数据变化：六类 research intent 各有模板；report / memo / workbook / code / slides / webpage / multi-file 各有交付物模板；stakes、permission、operator 再激活风险与压力模板。统一的是 leaf 格式、适用条件和聚合规则，不是让不同任务共用一张表。</w:t>
      </w:r>
    </w:p>
    <w:p>
      <w:r>
        <w:rPr>
          <w:rFonts w:ascii="Calibri" w:hAnsi="Calibri" w:eastAsia="PingFang SC"/>
        </w:rPr>
        <w:t>现在另有一份 36-module library：6 Core + 9 Personalization + 6 Intent + 7 Deliverable + 4 Operator + 4 Risk。每个 case 只激活适用子集。强点不是“比 PDR-Bench 多几维”，而是每个 personalization leaf 有 user fact + must-change provenance、A/B 模块对称、同一 bundle 交叉评 matched/swapped，并用 must-hold/must-not 阻止无效差异和过度个性化。</w:t>
      </w:r>
    </w:p>
    <w:p>
      <w:r>
        <w:rPr>
          <w:rFonts w:ascii="Calibri" w:hAnsi="Calibri" w:eastAsia="PingFang SC"/>
          <w:b/>
        </w:rPr>
        <w:t>当前成熟度：</w:t>
      </w:r>
      <w:r>
        <w:rPr>
          <w:rFonts w:ascii="Calibri" w:hAnsi="Calibri" w:eastAsia="PingFang SC"/>
        </w:rPr>
        <w:t>v0.29 已冻结 compiler contract、36-module library、data-factory protocol 和端到端示例；自动 validator、模板路由器和 bundle 导出器是第 1 周工程任务。今晚确认的是方法接口与标注可行性，不把 schema 文件说成已经完成的生产系统。</w:t>
      </w:r>
    </w:p>
    <w:p>
      <w:r>
        <w:rPr>
          <w:rFonts w:ascii="Calibri" w:hAnsi="Calibri" w:eastAsia="PingFang SC"/>
          <w:b/>
        </w:rPr>
        <w:t>Leaf expansion</w:t>
      </w:r>
      <w:r>
        <w:rPr>
          <w:rFonts w:ascii="Calibri" w:hAnsi="Calibri" w:eastAsia="PingFang SC"/>
        </w:rPr>
        <w:t xml:space="preserve"> 是运行前把复合要求拆成原子项。例如“Ua 的建议符合预算和风险”拆成“首阶段 ≤50 万”“三个月可逆试点”“继续/退出阈值”，每条都附 evidence target、0/1/2 锚点、weight、hard gate、judge route 和直接 metric binding。冻结后所有 agent 共用，不能看完输出再改。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Leaf 到指标的显式绑定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Leaf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直接指标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后续用途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common / intent / 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TQ；事实项同时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基础质量门槛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指定用户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交叉评分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检查不该变的是否稳定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must-not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防泄露、越权与过度个性化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clarify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Clarification Correctness；错误假设进 MP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获取信息边界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paired diagnostic Δ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S0–S3 压力诊断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TQ/FR/PF/MP 直接聚合 leaves；</w:t>
      </w:r>
      <w:r>
        <w:rPr>
          <w:rFonts w:ascii="Calibri" w:hAnsi="Calibri" w:eastAsia="PingFang SC"/>
          <w:b/>
        </w:rPr>
        <w:t>CFA 不绑定某一条 leaf</w:t>
      </w:r>
      <w:r>
        <w:rPr>
          <w:rFonts w:ascii="Calibri" w:hAnsi="Calibri" w:eastAsia="PingFang SC"/>
        </w:rPr>
        <w:t xml:space="preserve">。Ua 的同一组 PF leaves 同时评分 </w:t>
      </w:r>
      <w:r>
        <w:rPr>
          <w:rFonts w:ascii="Courier New" w:hAnsi="Courier New" w:eastAsia="PingFang SC"/>
          <w:color w:val="6A3E00"/>
          <w:sz w:val="20"/>
        </w:rPr>
        <w:t>Y_a/Y_b</w:t>
      </w:r>
      <w:r>
        <w:rPr>
          <w:rFonts w:ascii="Calibri" w:hAnsi="Calibri" w:eastAsia="PingFang SC"/>
        </w:rPr>
        <w:t xml:space="preserve">，Ub 同理，四个 PF 单元再计算 CFA。完整例子和 score trace 已写入 </w:t>
      </w:r>
      <w:r>
        <w:rPr>
          <w:rFonts w:ascii="Courier New" w:hAnsi="Courier New" w:eastAsia="PingFang SC"/>
          <w:color w:val="6A3E00"/>
          <w:sz w:val="20"/>
        </w:rPr>
        <w:t>rubric_bundle.example.yaml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Update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状态改变后采用当前真值、避免旧状态残留的能力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r>
        <w:rPr>
          <w:rFonts w:ascii="Calibri" w:hAnsi="Calibri" w:eastAsia="PingFang SC"/>
        </w:rPr>
        <w:t>Leaderboard 分四张 profile：clean task/deliverable、signal acquisition、S0–S3 stress/failure curve、boundary/governance；只有同 anchor、同环境、同预算的 agent 才做显著性比较。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dynamic-update 的受控压力分叉。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构造跨用户 2×2 对角优势，并用语义等价信号检查表面 cue 敏感性；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PDR-Bench 已建立 task–persona 条件下的 absolute adaptation evaluation。DeepAlign 的核心差异是 counterfactual effect identification；同时，PDR 已报告的低 PCA、窄校准、动态量尺和复合自动核验说明其 judge 仍需更强 validation。两条主张同时成立：前者定义方法创新，后者解释为什么必须建 JudgeBench。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是否同意将“跨用户 counterfactual personalization effect identification”锁定为唯一核心方法贡献，Atlas 与 rubric compiler 作为实现和外部效度支撑？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OpenCompass Team. </w:t>
      </w:r>
      <w:r>
        <w:rPr>
          <w:rFonts w:ascii="Calibri" w:hAnsi="Calibri" w:eastAsia="PingFang SC"/>
          <w:i/>
          <w:sz w:val="14"/>
        </w:rPr>
        <w:t>OpenCompass: A Universal Evaluation Platform for Large Language Models</w:t>
      </w:r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Zhang et al. </w:t>
      </w:r>
      <w:r>
        <w:rPr>
          <w:rFonts w:ascii="Calibri" w:hAnsi="Calibri" w:eastAsia="PingFang SC"/>
          <w:i/>
          <w:sz w:val="14"/>
        </w:rPr>
        <w:t>Agent-SafetyBench</w:t>
      </w:r>
      <w:r>
        <w:rPr>
          <w:rFonts w:ascii="Calibri" w:hAnsi="Calibri" w:eastAsia="PingFang SC"/>
          <w:sz w:val="14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Wang et al. </w:t>
      </w:r>
      <w:r>
        <w:rPr>
          <w:rFonts w:ascii="Calibri" w:hAnsi="Calibri" w:eastAsia="PingFang SC"/>
          <w:i/>
          <w:sz w:val="14"/>
        </w:rPr>
        <w:t>LiveResearchBench</w:t>
      </w:r>
      <w:r>
        <w:rPr>
          <w:rFonts w:ascii="Calibri" w:hAnsi="Calibri" w:eastAsia="PingFang SC"/>
          <w:sz w:val="14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[5] Sharma et al. </w:t>
      </w:r>
      <w:r>
        <w:rPr>
          <w:rFonts w:ascii="Calibri" w:hAnsi="Calibri" w:eastAsia="PingFang SC"/>
          <w:i/>
          <w:sz w:val="14"/>
        </w:rPr>
        <w:t>ResearchRubrics</w:t>
      </w:r>
      <w:r>
        <w:rPr>
          <w:rFonts w:ascii="Calibri" w:hAnsi="Calibri" w:eastAsia="PingFang SC"/>
          <w:sz w:val="14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[6] Liang et al. </w:t>
      </w:r>
      <w:r>
        <w:rPr>
          <w:rFonts w:ascii="Calibri" w:hAnsi="Calibri" w:eastAsia="PingFang SC"/>
          <w:i/>
          <w:sz w:val="14"/>
        </w:rPr>
        <w:t>HELM</w:t>
      </w:r>
      <w:r>
        <w:rPr>
          <w:rFonts w:ascii="Calibri" w:hAnsi="Calibri" w:eastAsia="PingFang SC"/>
          <w:sz w:val="14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[7] Ribeiro et al. </w:t>
      </w:r>
      <w:r>
        <w:rPr>
          <w:rFonts w:ascii="Calibri" w:hAnsi="Calibri" w:eastAsia="PingFang SC"/>
          <w:i/>
          <w:sz w:val="14"/>
        </w:rPr>
        <w:t>CheckList</w:t>
      </w:r>
      <w:r>
        <w:rPr>
          <w:rFonts w:ascii="Calibri" w:hAnsi="Calibri" w:eastAsia="PingFang SC"/>
          <w:sz w:val="14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[8] Reuel et al. </w:t>
      </w:r>
      <w:r>
        <w:rPr>
          <w:rFonts w:ascii="Calibri" w:hAnsi="Calibri" w:eastAsia="PingFang SC"/>
          <w:i/>
          <w:sz w:val="14"/>
        </w:rPr>
        <w:t>BetterBench</w:t>
      </w:r>
      <w:r>
        <w:rPr>
          <w:rFonts w:ascii="Calibri" w:hAnsi="Calibri" w:eastAsia="PingFang SC"/>
          <w:sz w:val="14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[9] Zeng et al. </w:t>
      </w:r>
      <w:r>
        <w:rPr>
          <w:rFonts w:ascii="Calibri" w:hAnsi="Calibri" w:eastAsia="PingFang SC"/>
          <w:i/>
          <w:sz w:val="14"/>
        </w:rPr>
        <w:t>Setoka</w:t>
      </w:r>
      <w:r>
        <w:rPr>
          <w:rFonts w:ascii="Calibri" w:hAnsi="Calibri" w:eastAsia="PingFang SC"/>
          <w:sz w:val="14"/>
        </w:rPr>
        <w:t>. arXiv:2607.27056.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[10] Qian et al. </w:t>
      </w:r>
      <w:r>
        <w:rPr>
          <w:rFonts w:ascii="Calibri" w:hAnsi="Calibri" w:eastAsia="PingFang SC"/>
          <w:i/>
          <w:sz w:val="14"/>
        </w:rPr>
        <w:t>User-Conditioned Evaluation under Temporal Interventions</w:t>
      </w:r>
      <w:r>
        <w:rPr>
          <w:rFonts w:ascii="Calibri" w:hAnsi="Calibri" w:eastAsia="PingFang SC"/>
          <w:sz w:val="14"/>
        </w:rPr>
        <w:t>. arXiv:2607.21635.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[11] Yang et al. </w:t>
      </w:r>
      <w:r>
        <w:rPr>
          <w:rFonts w:ascii="Calibri" w:hAnsi="Calibri" w:eastAsia="PingFang SC"/>
          <w:i/>
          <w:sz w:val="14"/>
        </w:rPr>
        <w:t>PersonaTrail</w:t>
      </w:r>
      <w:r>
        <w:rPr>
          <w:rFonts w:ascii="Calibri" w:hAnsi="Calibri" w:eastAsia="PingFang SC"/>
          <w:sz w:val="14"/>
        </w:rPr>
        <w:t>. arXiv:2607.20482.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[12] Todisco et al. </w:t>
      </w:r>
      <w:r>
        <w:rPr>
          <w:rFonts w:ascii="Calibri" w:hAnsi="Calibri" w:eastAsia="PingFang SC"/>
          <w:i/>
          <w:sz w:val="14"/>
        </w:rPr>
        <w:t>TARS</w:t>
      </w:r>
      <w:r>
        <w:rPr>
          <w:rFonts w:ascii="Calibri" w:hAnsi="Calibri" w:eastAsia="PingFang SC"/>
          <w:sz w:val="14"/>
        </w:rPr>
        <w:t>. arXiv:2607.15948.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[13] Yang. </w:t>
      </w:r>
      <w:r>
        <w:rPr>
          <w:rFonts w:ascii="Calibri" w:hAnsi="Calibri" w:eastAsia="PingFang SC"/>
          <w:i/>
          <w:sz w:val="14"/>
        </w:rPr>
        <w:t>SARSI Agents for Personal Singularity</w:t>
      </w:r>
      <w:r>
        <w:rPr>
          <w:rFonts w:ascii="Calibri" w:hAnsi="Calibri" w:eastAsia="PingFang SC"/>
          <w:sz w:val="14"/>
        </w:rPr>
        <w:t>. arXiv:2607.12254.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[14] Mao et al. </w:t>
      </w:r>
      <w:r>
        <w:rPr>
          <w:rFonts w:ascii="Calibri" w:hAnsi="Calibri" w:eastAsia="PingFang SC"/>
          <w:i/>
          <w:sz w:val="14"/>
        </w:rPr>
        <w:t>Agents Don't Just Agree, They Remember</w:t>
      </w:r>
      <w:r>
        <w:rPr>
          <w:rFonts w:ascii="Calibri" w:hAnsi="Calibri" w:eastAsia="PingFang SC"/>
          <w:sz w:val="14"/>
        </w:rPr>
        <w:t>. arXiv:2607.10526.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[15] Yang et al. </w:t>
      </w:r>
      <w:r>
        <w:rPr>
          <w:rFonts w:ascii="Calibri" w:hAnsi="Calibri" w:eastAsia="PingFang SC"/>
          <w:i/>
          <w:sz w:val="14"/>
        </w:rPr>
        <w:t>APeB</w:t>
      </w:r>
      <w:r>
        <w:rPr>
          <w:rFonts w:ascii="Calibri" w:hAnsi="Calibri" w:eastAsia="PingFang SC"/>
          <w:sz w:val="14"/>
        </w:rPr>
        <w:t>. arXiv:2607.03162.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[16] Hao et al. </w:t>
      </w:r>
      <w:r>
        <w:rPr>
          <w:rFonts w:ascii="Calibri" w:hAnsi="Calibri" w:eastAsia="PingFang SC"/>
          <w:i/>
          <w:sz w:val="14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4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[17] Li et al. </w:t>
      </w:r>
      <w:r>
        <w:rPr>
          <w:rFonts w:ascii="Calibri" w:hAnsi="Calibri" w:eastAsia="PingFang SC"/>
          <w:i/>
          <w:sz w:val="14"/>
        </w:rPr>
        <w:t>Personalized Deep Research: A User-Centric Framework, Dataset, and Hybrid Evaluation</w:t>
      </w:r>
      <w:r>
        <w:rPr>
          <w:rFonts w:ascii="Calibri" w:hAnsi="Calibri" w:eastAsia="PingFang SC"/>
          <w:sz w:val="14"/>
        </w:rPr>
        <w:t>. arXiv:2605.10530.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[18] Liang et al. </w:t>
      </w:r>
      <w:r>
        <w:rPr>
          <w:rFonts w:ascii="Calibri" w:hAnsi="Calibri" w:eastAsia="PingFang SC"/>
          <w:i/>
          <w:sz w:val="14"/>
        </w:rPr>
        <w:t>Learning Personalized Agents from Human Feedback</w:t>
      </w:r>
      <w:r>
        <w:rPr>
          <w:rFonts w:ascii="Calibri" w:hAnsi="Calibri" w:eastAsia="PingFang SC"/>
          <w:sz w:val="14"/>
        </w:rPr>
        <w:t>. arXiv:2602.16173.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[19] Shen et al. </w:t>
      </w:r>
      <w:r>
        <w:rPr>
          <w:rFonts w:ascii="Calibri" w:hAnsi="Calibri" w:eastAsia="PingFang SC"/>
          <w:i/>
          <w:sz w:val="14"/>
        </w:rPr>
        <w:t>Mem2ActBench</w:t>
      </w:r>
      <w:r>
        <w:rPr>
          <w:rFonts w:ascii="Calibri" w:hAnsi="Calibri" w:eastAsia="PingFang SC"/>
          <w:sz w:val="14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[20] Balepur et al. </w:t>
      </w:r>
      <w:r>
        <w:rPr>
          <w:rFonts w:ascii="Calibri" w:hAnsi="Calibri" w:eastAsia="PingFang SC"/>
          <w:i/>
          <w:sz w:val="14"/>
        </w:rPr>
        <w:t>Language Models Don't Know What You Want</w:t>
      </w:r>
      <w:r>
        <w:rPr>
          <w:rFonts w:ascii="Calibri" w:hAnsi="Calibri" w:eastAsia="PingFang SC"/>
          <w:sz w:val="14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[21] Weeber et al. </w:t>
      </w:r>
      <w:r>
        <w:rPr>
          <w:rFonts w:ascii="Calibri" w:hAnsi="Calibri" w:eastAsia="PingFang SC"/>
          <w:i/>
          <w:sz w:val="14"/>
        </w:rPr>
        <w:t>One Persona, Many Cues, Different Results</w:t>
      </w:r>
      <w:r>
        <w:rPr>
          <w:rFonts w:ascii="Calibri" w:hAnsi="Calibri" w:eastAsia="PingFang SC"/>
          <w:sz w:val="14"/>
        </w:rPr>
        <w:t xml:space="preserve">. ACL, 2026.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[22] Qiu et al. </w:t>
      </w:r>
      <w:r>
        <w:rPr>
          <w:rFonts w:ascii="Calibri" w:hAnsi="Calibri" w:eastAsia="PingFang SC"/>
          <w:i/>
          <w:sz w:val="14"/>
        </w:rPr>
        <w:t>Preference-Aware Rubric Learning for Personalized Evaluation</w:t>
      </w:r>
      <w:r>
        <w:rPr>
          <w:rFonts w:ascii="Calibri" w:hAnsi="Calibri" w:eastAsia="PingFang SC"/>
          <w:sz w:val="14"/>
        </w:rPr>
        <w:t xml:space="preserve">. arXiv:2605.31545, 2026.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25"/>
      <w:footerReference w:type="default" r:id="rId2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yperlink" Target="https://aclanthology.org/2026.acl-long.2079/" TargetMode="External"/><Relationship Id="rId21" Type="http://schemas.openxmlformats.org/officeDocument/2006/relationships/hyperlink" Target="https://arxiv.org/abs/2605.31545" TargetMode="Externa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image" Target="media/image1.png"/><Relationship Id="rId25" Type="http://schemas.openxmlformats.org/officeDocument/2006/relationships/header" Target="header3.xml"/><Relationship Id="rId2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