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v0.67 · PDR-T30 Preference Chain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冻结 6 个基础任务：PDR-T01、PDR-T30、SW001、SW013、DA003、DA015。每题使用一个 A/B 用户对，并在 preference-node 层同时覆盖至少一个 high、low 和 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，不再把同一题机械复制为三个 task-level strata。Ask 跑 A0/A1/A2；两个 Deep Research 任务追加 I1 history 与 I3 PDR Full-Persona bridge，A0=I0、A2=I2 精确复用。Codex CLI、Claude Code、Gemini CLI 三个必跑 agent system 共 114 个唯一 episode；OpenHands 只在 9 月 5 日前通过全部 smoke test 时加入，届时为 152 个。该 pilot 只验证操纵、日志、提问对齐、final scoring 和近邻增量，不估计稳定排行榜。</w:t>
      </w:r>
    </w:p>
    <w:p>
      <w:r>
        <w:rPr>
          <w:rFonts w:ascii="Calibri" w:hAnsi="Calibri" w:eastAsia="PingFang SC"/>
        </w:rPr>
        <w:t xml:space="preserve">公平性不要求一天跑完整批：同一 </w:t>
      </w:r>
      <w:r>
        <w:rPr>
          <w:rFonts w:ascii="Courier New" w:hAnsi="Courier New" w:eastAsia="PingFang SC"/>
          <w:color w:val="6A3E00"/>
          <w:sz w:val="20"/>
        </w:rPr>
        <w:t>task × target user</w:t>
      </w:r>
      <w:r>
        <w:rPr>
          <w:rFonts w:ascii="Calibri" w:hAnsi="Calibri" w:eastAsia="PingFang SC"/>
        </w:rPr>
        <w:t xml:space="preserve"> matched block 的所有系统在 2–6 小时内按随机顺序运行，整批目标 48–72 小时，并对 5%–10% anchor 重跑以检测时间漂移。主结果解释为 agent product/system-level comparison，而非纯 base-model 排名。</w:t>
      </w:r>
    </w:p>
    <w:p>
      <w:r>
        <w:rPr>
          <w:rFonts w:ascii="Calibri" w:hAnsi="Calibri" w:eastAsia="PingFang SC"/>
          <w:b/>
        </w:rPr>
        <w:t>条件性扩展：</w:t>
      </w:r>
      <w:r>
        <w:rPr>
          <w:rFonts w:ascii="Calibri" w:hAnsi="Calibri" w:eastAsia="PingFang SC"/>
        </w:rPr>
        <w:t>9 月 14 日过 Go/No-Go 后，第一轮只扩到 12 个独立基础任务，即 Deep Research、Coding、Data Analysis 各 4 个；这是论文在当前截止期内的 scoped agent-system leaderboard 候选规模。15 个 PDR task 的 Deep Research overlap pool、Coding 8 题与 Data 8 题只构成后续 31 题规划上限，不是当前两周承诺。最终 agent 数、repeat、family 数和是否继续向上限扩展，由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分离；v0.62 冻结两周六题 pilot、三个必跑 agent 系统、114 个唯一 episode、公平运行窗口与 rubric 防关键词规则。</w:t>
      </w:r>
    </w:p>
    <w:p>
      <w:r>
        <w:rPr>
          <w:rFonts w:ascii="Calibri" w:hAnsi="Calibri" w:eastAsia="PingFang SC"/>
        </w:rPr>
        <w:t xml:space="preserve">v0.63 新增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 xml:space="preserve"> 执行包：为 SW001、SW013、DA003、DA015 生成 8 个带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LLM candidate user states、4 套带 artifact-evidence 和 mention-only cap 的 rubric，以及 Research/Code/Data 三个可复制 S0 prompts。S0 只验证 question channel、ledger-bounded answer、answer use、trace 与 reset；在真实 repository/dataset 尚未绑定时不能冒充 S1 artifact smoke。所有 synthetic nodes 在两名独立人类确认前不得进入 counted episodes。Gemini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已安装但 OAuth 尚待用户本人完成；安装渠道与鉴权类型都必须作为实验元数据冻结。</w:t>
      </w:r>
    </w:p>
    <w:p>
      <w:r>
        <w:rPr>
          <w:rFonts w:ascii="Calibri" w:hAnsi="Calibri" w:eastAsia="PingFang SC"/>
        </w:rPr>
        <w:t xml:space="preserve">v0.64 完成第一批 live S0：Codex CLI </w:t>
      </w:r>
      <w:r>
        <w:rPr>
          <w:rFonts w:ascii="Courier New" w:hAnsi="Courier New" w:eastAsia="PingFang SC"/>
          <w:color w:val="6A3E00"/>
          <w:sz w:val="20"/>
        </w:rPr>
        <w:t>0.145.0</w:t>
      </w:r>
      <w:r>
        <w:rPr>
          <w:rFonts w:ascii="Calibri" w:hAnsi="Calibri" w:eastAsia="PingFang SC"/>
        </w:rPr>
        <w:t xml:space="preserve">（配置模型 </w:t>
      </w:r>
      <w:r>
        <w:rPr>
          <w:rFonts w:ascii="Courier New" w:hAnsi="Courier New" w:eastAsia="PingFang SC"/>
          <w:color w:val="6A3E00"/>
          <w:sz w:val="20"/>
        </w:rPr>
        <w:t>gpt-5.6-sol</w:t>
      </w:r>
      <w:r>
        <w:rPr>
          <w:rFonts w:ascii="Calibri" w:hAnsi="Calibri" w:eastAsia="PingFang SC"/>
        </w:rPr>
        <w:t>）形成三个完整 episode，Research 通过、Code 带“把 task-factual compatibility 当偏好问题”的诊断警告通过、Data 因未询问 decision horizon 而缺少两季度 weekly scale/stop 日程并失败。Claude Code 三题均在模型接收 prompt 前因企业账户余额不足返回 HTTP 401，输入/输出 token 为 0，故只记 infrastructure/auth failure，不计模型 0 分。该结果验证了区分 preference clarification 与 task-factual clarification、并检查 acquisition-to-use 全链条的必要性；它仍不构成 agent 排名或 artifact 完成证据。</w:t>
      </w:r>
    </w:p>
    <w:p>
      <w:r>
        <w:rPr>
          <w:rFonts w:ascii="Calibri" w:hAnsi="Calibri" w:eastAsia="PingFang SC"/>
        </w:rPr>
        <w:t>v0.65 另以 PDR-T30、User12 和一个产品级 ChatGPT Deep Research agent 完成单任务最小闭环。三条件的盲评 P-score 为 Full Persona 6.703、No-Ask 5.596、Free Clarification 6.033，InteractiveGain 为 +0.438，OracleGap 为 0.669，RecoveryRatio 为 39.53%。Interactive 主动提出六个与 task 相关的问题；晨间创作、周末家庭优先、AI/创业内容和 ROI 偏好被获取并进入报告，但 founder/company role、技术资历、LinkedIn/GitHub/Slack/Notion 习惯、跨境背景和合规边界未被询问。该结果只说明端到端信号存在并暴露主要失败链；它是 n=1 探索性 product-UI pilot，full 条件也获准追问，且评分因缺少 API key 通过临时产品会话承载原始 PDR prompt，不能作为确认性系统比较或排行榜证据。</w:t>
      </w:r>
    </w:p>
    <w:p>
      <w:r>
        <w:rPr>
          <w:rFonts w:ascii="Calibri" w:hAnsi="Calibri" w:eastAsia="PingFang SC"/>
        </w:rPr>
        <w:t>v0.66 随后以 PDR-T01、User1 和两个产品级 Deep Research agent 检验 agent 是否会选择不同的澄清目标。ChatGPT 与 Gemini 接收完全相同的 instruction-only + free-clarification 输入；ChatGPT 用一轮 15 个 atomic slots 覆盖运行前冻结的 7/7 个 critical preference clusters，Gemini 未提问，asked-cluster Jaccard 为 0。34 条原始 PDR criteria 的盲化三重复评分分别为 7.057 与 6.065，差值 +0.992；ChatGPT 的优势集中在研究方向验证、fit-based shortlist、可衡量背景提升和个人情境可执行性，Gemini 则在通用地区比较表和就业信息上更强。这支持 agent-system clarification-policy heterogeneity 的 existence proof，但不隔离提问的因果效应：模型、system prompt、planner、搜索和报告生成策略也随产品一起变化。</w:t>
      </w:r>
    </w:p>
    <w:p>
      <w:r>
        <w:rPr>
          <w:rFonts w:ascii="Calibri" w:hAnsi="Calibri" w:eastAsia="PingFang SC"/>
        </w:rPr>
        <w:t>v0.67 对 v0.65 的 44 条 criteria 做 atomic preference-chain 编码：22 个 task-specific units，每条 criterion 恰有一个 primary unit 并可附 secondary dependencies；</w:t>
      </w:r>
      <w:r>
        <w:rPr>
          <w:rFonts w:ascii="Courier New" w:hAnsi="Courier New" w:eastAsia="PingFang SC"/>
          <w:color w:val="6A3E00"/>
          <w:sz w:val="20"/>
        </w:rPr>
        <w:t>known</w:t>
      </w:r>
      <w:r>
        <w:rPr>
          <w:rFonts w:ascii="Calibri" w:hAnsi="Calibri" w:eastAsia="PingFang SC"/>
        </w:rPr>
        <w:t xml:space="preserve"> 固定为首次提问前可见，</w:t>
      </w:r>
      <w:r>
        <w:rPr>
          <w:rFonts w:ascii="Courier New" w:hAnsi="Courier New" w:eastAsia="PingFang SC"/>
          <w:color w:val="6A3E00"/>
          <w:sz w:val="20"/>
        </w:rPr>
        <w:t>resolved</w:t>
      </w:r>
      <w:r>
        <w:rPr>
          <w:rFonts w:ascii="Calibri" w:hAnsi="Calibri" w:eastAsia="PingFang SC"/>
        </w:rPr>
        <w:t xml:space="preserve"> 固定为足以约束交付决策，</w:t>
      </w:r>
      <w:r>
        <w:rPr>
          <w:rFonts w:ascii="Courier New" w:hAnsi="Courier New" w:eastAsia="PingFang SC"/>
          <w:color w:val="6A3E00"/>
          <w:sz w:val="20"/>
        </w:rPr>
        <w:t>reflected</w:t>
      </w:r>
      <w:r>
        <w:rPr>
          <w:rFonts w:ascii="Calibri" w:hAnsi="Calibri" w:eastAsia="PingFang SC"/>
        </w:rPr>
        <w:t xml:space="preserve"> 只认与已知/已解决 value 可追溯的报告决策。Interactive 六问覆盖 11/22 units，严格完成 </w:t>
      </w:r>
      <w:r>
        <w:rPr>
          <w:rFonts w:ascii="Courier New" w:hAnsi="Courier New" w:eastAsia="PingFang SC"/>
          <w:color w:val="6A3E00"/>
          <w:sz w:val="20"/>
        </w:rPr>
        <w:t>Asked→Resolved→Reflected</w:t>
      </w:r>
      <w:r>
        <w:rPr>
          <w:rFonts w:ascii="Calibri" w:hAnsi="Calibri" w:eastAsia="PingFang SC"/>
        </w:rPr>
        <w:t xml:space="preserve"> 的为 5/22；Full Persona 起始已知 14/22。Full 的五问均瞄准 persona 未给出的 goal/company use、hours/team assistance、creator budget、on-camera preference 或 audience，因此是 5/5 reasonable residual verification、0/5 redundant clarification；但 simulator 没有这些答案，故没有新增 resolved unit。该 coding 仍是单 pair、单 coder 的事后诊断；重叠的 rubric-influence mass 只是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proxy，不是因果效应，进入确认性指标前必须做独立二次标注和 agreement。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r>
        <w:rPr>
          <w:rFonts w:ascii="Calibri" w:hAnsi="Calibri" w:eastAsia="PingFang SC"/>
          <w:i/>
          <w:sz w:val="15"/>
        </w:rPr>
        <w:t>PARL: Principles for Personalized LLM Evaluation</w:t>
      </w:r>
      <w:r>
        <w:rPr>
          <w:rFonts w:ascii="Calibri" w:hAnsi="Calibri" w:eastAsia="PingFang SC"/>
          <w:sz w:val="15"/>
        </w:rPr>
        <w:t xml:space="preserve">. arXiv:2605.31545.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rxiv.org/abs/2608.05876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2.03468" TargetMode="External"/><Relationship Id="rId21" Type="http://schemas.openxmlformats.org/officeDocument/2006/relationships/hyperlink" Target="https://arxiv.org/abs/2606.27669" TargetMode="External"/><Relationship Id="rId22" Type="http://schemas.openxmlformats.org/officeDocument/2006/relationships/hyperlink" Target="https://aclanthology.org/2026.acl-long.723/" TargetMode="External"/><Relationship Id="rId23" Type="http://schemas.openxmlformats.org/officeDocument/2006/relationships/hyperlink" Target="https://aclanthology.org/2026.acl-long.2079/" TargetMode="External"/><Relationship Id="rId24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