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v0.67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怎么筛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 PDR 50→15 的筛选边界，再看 Ask / Infer 和 δ，最后看 rubric、CFA、排名反转与停止条件。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测用户离线时有证据的推断；最终交付物另过非补偿条件。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可以复用，但不能随机抽 15 题，也不能直接当新 gold。</w:t>
      </w:r>
    </w:p>
    <w:p>
      <w:r>
        <w:rPr>
          <w:rFonts w:ascii="Calibri" w:hAnsi="Calibri" w:eastAsia="PingFang SC"/>
        </w:rPr>
        <w:t>PDR 原论文已经保证任务本身具有 complexity、clarity 和 personalization alignment。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但我们问的问题更窄：用户差异是否会改变研究决定，而不只是让报告变长、变浅或换一种语气。因此先把官方 50 题逐题标为：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：不同用户不该改变实质答案；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1</w:t>
      </w:r>
      <w:r>
        <w:rPr>
          <w:rFonts w:ascii="Calibri" w:hAnsi="Calibri" w:eastAsia="PingFang SC"/>
        </w:rPr>
        <w:t>：主要改变重点、顺序或呈现；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>：改变搜索内容、候选集合、约束、阈值、方案或结论。</w:t>
      </w:r>
    </w:p>
    <w:p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 xml:space="preserve"> 只是入场券。还要检查 history 是否自然可能留下相关证据、能否写出 2–4 个可验证 preference dimensions、是否真需要搜索分析、是否主要靠性别年龄等人口信息、以及 task 与官方 profile 有没有矛盾。年龄、性别和职业标签本身不算“偏好”；儿童题必须有真实的行为或照护证据，金融、健康和房产题还要专家检查安全性与可行性。例如官方马拉松题说用户“完全没有跑步经验”，但部分配对 profile 已经有跑步或长距离运动经历；这种题表面上很个性化，却会把信息冲突混进 Ask/Infer 能力，所以没有进入首选 15 题。</w:t>
      </w:r>
    </w:p>
    <w:p>
      <w:r>
        <w:rPr>
          <w:rFonts w:ascii="Calibri" w:hAnsi="Calibri" w:eastAsia="PingFang SC"/>
        </w:rPr>
        <w:t>现在选出的官方 task ID 是：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它们分别覆盖 PhD/MBA/论文投稿、金融与 AI 产品职业转型、国际求职、健身、背包旅行、投资与退休、个人媒体、宠物用品、户外装备、养老房和亲子沟通。Education 3、Career 3、Health 1、Travel 1、Finance 2、Creative 1、Shopping 2、Real Estate 1、Parenting 1；这个不均匀分布是筛选结果，不是人为配额。</w:t>
      </w:r>
    </w:p>
    <w:p>
      <w:r>
        <w:rPr>
          <w:rFonts w:ascii="Calibri" w:hAnsi="Calibri" w:eastAsia="PingFang SC"/>
        </w:rPr>
        <w:t>这 15 题按官方公开映射共有 76 个 task–user bridge pair，不是 75，因为 task 10 在公开数据里配了 6 位用户。Ask/Infer 真正做 matched/swapped 时，不会默认五个人都能组成 gold；每题仍要由两名人类在看不到模型输出时复核，再另选 A/B 用户、冻结 2–4 个 task-specific nodes 和自然 history evidence。</w:t>
      </w:r>
    </w:p>
    <w:p>
      <w:r>
        <w:rPr>
          <w:rFonts w:ascii="Calibri" w:hAnsi="Calibri" w:eastAsia="PingFang SC"/>
        </w:rPr>
        <w:t xml:space="preserve">可以复用 PDR 的 task 原文和 structured persona，在同一批 Deep Research agent 上跑 full-persona 对照。不能把完整 persona 塞进 Ask 主条件，因为答案已经泄漏。也不能把 PDR 的 simulated context 叫真实 history。完整 50 题表、逐题理由和机器入口保存在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，以后即使换题也必须公开原因，不能看模型分数后挑“最好看”的题。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每题一个 A/B 用户对，在偏好节点层同时放入 high、low、zero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，不把同一题复制成三种 task-level 版本；</w:t>
      </w:r>
    </w:p>
    <w:p>
      <w:pPr>
        <w:pStyle w:val="ListBullet"/>
      </w:pPr>
      <w:r>
        <w:rPr>
          <w:rFonts w:ascii="Calibri" w:hAnsi="Calibri" w:eastAsia="PingFang SC"/>
        </w:rPr>
        <w:t>必跑 Codex CLI、Claude Code、Gemini CLI 三个 agent system；OpenHands 只在 9 月 5 日前通过全部 smoke 时加入；</w:t>
      </w:r>
    </w:p>
    <w:p>
      <w:pPr>
        <w:pStyle w:val="ListBullet"/>
      </w:pPr>
      <w:r>
        <w:rPr>
          <w:rFonts w:ascii="Calibri" w:hAnsi="Calibri" w:eastAsia="PingFang SC"/>
        </w:rPr>
        <w:t>Ask 跑 No-Ask / Ask-Enabled / Oracle；其中 2 个 Deep Research task 另跑 I1 history 和 I3 Full Persona，A0=I0、A2=I2 直接复用；</w:t>
      </w:r>
    </w:p>
    <w:p>
      <w:pPr>
        <w:pStyle w:val="ListBullet"/>
      </w:pPr>
      <w:r>
        <w:rPr>
          <w:rFonts w:ascii="Calibri" w:hAnsi="Calibri" w:eastAsia="PingFang SC"/>
        </w:rPr>
        <w:t>三个必跑系统共 114 个唯一 episode；加第四系统为 152；</w:t>
      </w:r>
    </w:p>
    <w:p>
      <w:pPr>
        <w:pStyle w:val="ListBullet"/>
      </w:pPr>
      <w:r>
        <w:rPr>
          <w:rFonts w:ascii="Calibri" w:hAnsi="Calibri" w:eastAsia="PingFang SC"/>
        </w:rPr>
        <w:t>同一 matched block 在 2–6 小时内随机顺序运行，整批目标 48–72 小时，并重跑 5%–10% anchors。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9 月 14 日过门后，第一轮只扩到 12 个独立基础任务，也就是 Research、Coding、Data 各 4 个；这是截稿前真正要争取完成的 scoped agent-system leaderboard。通过双人 qualification 的 15 个 PDR tasks 加 Coding/Data 各 8 个，只是后续 31 题的规划上限，不是两周内必须跑完的承诺。最终规模仍由 pilot 的 family-level 方差、人工通过率、预算和最小实际重要差异决定。不能看 agent 输出删题，多跑 seed 也不能替代多做独立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benchmark。v0.65 的正确状态是：50→15 pre-output task screen 和六题 pilot 已冻结；4 个 Code/Data task 的 8 个 synthetic A/B persona、rubric 与三域 S0 prompts 已生成并通过结构校验。第一批真实运行里，Codex 的 Research、Code 过了 S0，Data 因没有问“两季度、每周 scale/stop”而失败；Claude 三题根本没到模型，均因企业账户余额不足返回 401，所以不能算 Claude 做错。</w:t>
      </w:r>
    </w:p>
    <w:p>
      <w:r>
        <w:rPr>
          <w:rFonts w:ascii="Calibri" w:hAnsi="Calibri" w:eastAsia="PingFang SC"/>
        </w:rPr>
        <w:t>同时，一个 PDR-T30 个人媒体任务的最小产品实验已经闭环。只给 task 且允许自由问时，ChatGPT Deep Research 确实主动问了六个有用问题；最终个性化分从 no-ask 的 5.596 提到 6.033，但离 full-persona 的 6.703 仍有 0.669，只恢复了 39.53% 的可恢复差距。它问到并落实了 AI/创业内容、长期品牌目标、工作日清晨/周末家庭优先和 ROI 偏好；最大的损失来自根本没问身份资历、既有平台与工具、跨境背景和合规边界。这个结果只有一个任务、一个 persona、一个产品 agent；full 条件也可以追问，评分通过产品临时会话而不是官方 API，所以只能说明最小机制有信号，不能当排行榜或总体结论。Gemini CLI 仍需本人登录；真实 repo/data 没绑定就不能说 Code/Data artifact smoke 已通过，synthetic persona 没经过两人确认也不能进正式结果。</w:t>
      </w:r>
    </w:p>
    <w:p>
      <w:r>
        <w:rPr>
          <w:rFonts w:ascii="Calibri" w:hAnsi="Calibri" w:eastAsia="PingFang SC"/>
        </w:rPr>
        <w:t>第二个 pilot 没有扩到 30 题，而是马上换到 PDR-T01 的 AI PhD 任务，用同一个 User1 persona 比较两个产品 agent。两边都只看到同一条 task 和“有必要时可自由追问”的许可。ChatGPT 问了一轮，拆开后有 15 个可独立回答的槽位，覆盖事先冻结的 7 类关键偏好；Gemini 直接生成研究计划并开始搜索，一个问题也没问。因此两者的 critical-preference recall 是 1.00 对 0，提问集合的 Jaccard 相似度也是 0。三次盲评分数为 7.057 对 6.065，差 0.992；分差主要来自方向验证、学校与导师 fit、以及能落地的背景提升计划，而不是所有通用事实都更好。这个结果说明不同 agent system 真的会在“要不要问、问什么”上作出不同选择；但产品切换也同时改变模型、planner、搜索和写作策略，所以还不能说 0.992 全是提问造成的，更不能据此排产品名次。</w:t>
      </w:r>
    </w:p>
    <w:p>
      <w:r>
        <w:rPr>
          <w:rFonts w:ascii="Calibri" w:hAnsi="Calibri" w:eastAsia="PingFang SC"/>
        </w:rPr>
        <w:t>接着把第一个 PDR-T30 pilot 拆到更细：原来的 44 条打分标准被映射成 22 个具体偏好单元，例如内容方向、受众、出镜方式、每周时间、清晨/家庭边界、预算、ROI、长期品牌、创始人身份、公司用途、技术背景、平台、工具、数据决策、社群、变现、地域、跨境、风险和合规。Interactive 六个大问题实际碰到 11/22 个单元，最后真正“问到—得到答案—写进报告”的只有 5 个。Full Persona 一开始已经知道 14/22；它后来问的五个问题都不是无意义重复，因为 persona 确实没有写目标排序、每周小时、团队协助、项目预算、出镜和目标受众。不过这些答案也没有新增一个确定偏好，说明问题合理不代表 hidden persona 一定能回答。真正的 Full miss 是：它知道用户是中国 AI 公司创始人、重视风险控制，却仍没追问 NDA、客户保密、IP、PIPL/CAC 或跨境边界，也没在报告里落实相应 safeguards。这套 22-unit 编码目前只有一位 coder，下一步应先做盲化复标，而不是马上扩到 30 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clanthology.org/2026.acl-long.723/" TargetMode="External"/><Relationship Id="rId19" Type="http://schemas.openxmlformats.org/officeDocument/2006/relationships/hyperlink" Target="https://aclanthology.org/2026.acl-long.2079/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