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v0.12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1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Evaluation Atlas · 反事实适配 · Rubric Compiler · JudgeBench</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固定任务与证据，只改变用户；只有匹配用户的交付物在反事实交换中仍占优，才能称为真正个性化。</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同一项研究任务，面对知识水平、决策目标、资源约束、风险偏好和交付场景不同的用户，理想交付物应在证据不变的前提下产生可解释、必要且有用的差异。当前评测大多只看事实性、覆盖度和引用质量；已有 Personalized Deep Research Bench（PDR-Bench）首次把真实 persona 引入深度调研，但其任务规模、用户信息来源、交付物类型和 agent 类型仍有限，而且由 LLM 同时动态生成 rubric、权重并评分，难以排除循环定义、风格偏好和“提供更多文字自然得更高分”等替代解释。</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在不降低事实性和任务完成质量的前提下，测量长程智能体能否从多种用户信息来源形成正确用户模型，在执行干扰中持续使用它，并在偏离后恢复，从而交付“对这个用户有独特价值”的最终产物。</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wp:cNvGraphicFramePr>
              <a:graphicFrameLocks noChangeAspect="1"/>
            </wp:cNvGraphicFramePr>
            <a:graphic>
              <a:graphicData uri="http://schemas.openxmlformats.org/drawingml/2006/picture">
                <pic:pic>
                  <pic:nvPicPr>
                    <pic:cNvPr id="0" name="DeepAlign-Bench_主图.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主流程。主榜先检查共同任务质量与事实性门槛，再比较用户适配；JudgeBench 独立验证自动评委。</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以及级联评估：规则先处理可确定样本，复杂边界样本再交给模型评委。其关键价值是模型—数据笛卡尔积的任务化、可重试并行执行、统一后处理与结果聚合，而不是提出新的个性化构念。[1]</w:t>
      </w:r>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等模式。[2]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91.5%。[3]</w:t>
      </w:r>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PDR-Bench（arXiv:2509.25106）：最直接的前作，也是必须超越的基线</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Fit、Actionability；可靠性由事实准确率与引用覆盖率组成。[4]</w:t>
      </w:r>
    </w:p>
    <w:p>
      <w:r>
        <w:rPr>
          <w:rFonts w:ascii="Calibri" w:hAnsi="Calibri" w:eastAsia="PingFang SC"/>
        </w:rPr>
        <w:t>论文的贡献应被正面承认：它首先把真实用户画像和深度调研结合；包含 task-only、context 和 persona 条件；对若干 memory system 做实验；并用人类评分比较 judge。但从顶会评审角度看，仍存在以下可攻击点：</w:t>
      </w:r>
    </w:p>
    <w:p>
      <w:pPr>
        <w:numPr>
          <w:ilvl w:val="0"/>
          <w:numId w:val="11"/>
        </w:numPr>
        <w:spacing w:after="80" w:line="290" w:lineRule="auto"/>
        <w:ind w:left="540" w:hanging="279"/>
      </w:pPr>
      <w:r>
        <w:rPr>
          <w:rFonts w:ascii="Calibri" w:hAnsi="Calibri" w:eastAsia="PingFang SC"/>
          <w:b/>
        </w:rPr>
        <w:t>反事实不足。</w:t>
      </w:r>
      <w:r>
        <w:rPr>
          <w:rFonts w:ascii="Calibri" w:hAnsi="Calibri" w:eastAsia="PingFang SC"/>
        </w:rPr>
        <w:t xml:space="preserve"> 论文主要比较“信息多/少”，没有把同一报告交换给不同用户来验证差异是否真的具有用户特异性，因此高分可能来自更长、更明确的输入。</w:t>
      </w:r>
    </w:p>
    <w:p>
      <w:pPr>
        <w:numPr>
          <w:ilvl w:val="0"/>
          <w:numId w:val="11"/>
        </w:numPr>
        <w:spacing w:after="80" w:line="290" w:lineRule="auto"/>
        <w:ind w:left="540" w:hanging="279"/>
      </w:pPr>
      <w:r>
        <w:rPr>
          <w:rFonts w:ascii="Calibri" w:hAnsi="Calibri" w:eastAsia="PingFang SC"/>
          <w:b/>
        </w:rPr>
        <w:t>rubric 内生。</w:t>
      </w:r>
      <w:r>
        <w:rPr>
          <w:rFonts w:ascii="Calibri" w:hAnsi="Calibri" w:eastAsia="PingFang SC"/>
        </w:rPr>
        <w:t xml:space="preserve"> LLM 根据 task/persona 动态生成维度权重和子标准，再由另一个 LLM 评分；如果 persona 本身含刻板或无关信息，rubric 可能把它合理化为评分目标。</w:t>
      </w:r>
    </w:p>
    <w:p>
      <w:pPr>
        <w:numPr>
          <w:ilvl w:val="0"/>
          <w:numId w:val="11"/>
        </w:numPr>
        <w:spacing w:after="80" w:line="290" w:lineRule="auto"/>
        <w:ind w:left="540" w:hanging="279"/>
      </w:pPr>
      <w:r>
        <w:rPr>
          <w:rFonts w:ascii="Calibri" w:hAnsi="Calibri" w:eastAsia="PingFang SC"/>
          <w:b/>
        </w:rPr>
        <w:t>人类校准偏弱。</w:t>
      </w:r>
      <w:r>
        <w:rPr>
          <w:rFonts w:ascii="Calibri" w:hAnsi="Calibri" w:eastAsia="PingFang SC"/>
        </w:rPr>
        <w:t xml:space="preserve"> judge 校准仅抽 15 个 query、两种 agent；最佳 GPT-5 的 pairwise agreement 仅 0.43，仍被选为主 judge。这不足以支撑精细榜单差异。</w:t>
      </w:r>
    </w:p>
    <w:p>
      <w:pPr>
        <w:numPr>
          <w:ilvl w:val="0"/>
          <w:numId w:val="11"/>
        </w:numPr>
        <w:spacing w:after="80" w:line="290" w:lineRule="auto"/>
        <w:ind w:left="540" w:hanging="279"/>
      </w:pPr>
      <w:r>
        <w:rPr>
          <w:rFonts w:ascii="Calibri" w:hAnsi="Calibri" w:eastAsia="PingFang SC"/>
          <w:b/>
        </w:rPr>
        <w:t>用户上下文并非自然产生。</w:t>
      </w:r>
      <w:r>
        <w:rPr>
          <w:rFonts w:ascii="Calibri" w:hAnsi="Calibri" w:eastAsia="PingFang SC"/>
        </w:rPr>
        <w:t xml:space="preserve"> 25 个 persona 虽来自志愿者，但动态内容由 6 名标注员模拟，且以“可逆推出 persona”为核心质量标准；这可能人为放大可识别性，低估真实历史中的噪声、冲突、过期信息与不可推断性。</w:t>
      </w:r>
    </w:p>
    <w:p>
      <w:pPr>
        <w:numPr>
          <w:ilvl w:val="0"/>
          <w:numId w:val="11"/>
        </w:numPr>
        <w:spacing w:after="80" w:line="290" w:lineRule="auto"/>
        <w:ind w:left="540" w:hanging="279"/>
      </w:pPr>
      <w:r>
        <w:rPr>
          <w:rFonts w:ascii="Calibri" w:hAnsi="Calibri" w:eastAsia="PingFang SC"/>
          <w:b/>
        </w:rPr>
        <w:t>任务与交付物覆盖有限。</w:t>
      </w:r>
      <w:r>
        <w:rPr>
          <w:rFonts w:ascii="Calibri" w:hAnsi="Calibri" w:eastAsia="PingFang SC"/>
        </w:rPr>
        <w:t xml:space="preserve"> 主要是中文/英文长报告，主实验只跑 150/250 个 query；无法说明对代码、表格、幻灯、网页、决策备忘录或私有企业材料的外推性。</w:t>
      </w:r>
    </w:p>
    <w:p>
      <w:pPr>
        <w:numPr>
          <w:ilvl w:val="0"/>
          <w:numId w:val="11"/>
        </w:numPr>
        <w:spacing w:after="80" w:line="290" w:lineRule="auto"/>
        <w:ind w:left="540" w:hanging="279"/>
      </w:pPr>
      <w:r>
        <w:rPr>
          <w:rFonts w:ascii="Calibri" w:hAnsi="Calibri" w:eastAsia="PingFang SC"/>
          <w:b/>
        </w:rPr>
        <w:t>简单平均可补偿。</w:t>
      </w:r>
      <w:r>
        <w:rPr>
          <w:rFonts w:ascii="Calibri" w:hAnsi="Calibri" w:eastAsia="PingFang SC"/>
        </w:rPr>
        <w:t xml:space="preserve"> P/Q/R 算术平均允许高文风分补偿事实性或关键用户约束失败；对高风险任务尤其不合理。</w:t>
      </w:r>
    </w:p>
    <w:p>
      <w:pPr>
        <w:numPr>
          <w:ilvl w:val="0"/>
          <w:numId w:val="11"/>
        </w:numPr>
        <w:spacing w:after="80" w:line="290" w:lineRule="auto"/>
        <w:ind w:left="540" w:hanging="279"/>
      </w:pPr>
      <w:r>
        <w:rPr>
          <w:rFonts w:ascii="Calibri" w:hAnsi="Calibri" w:eastAsia="PingFang SC"/>
          <w:b/>
        </w:rPr>
        <w:t>缺少轨迹诊断。</w:t>
      </w:r>
      <w:r>
        <w:rPr>
          <w:rFonts w:ascii="Calibri" w:hAnsi="Calibri" w:eastAsia="PingFang SC"/>
        </w:rPr>
        <w:t xml:space="preserve"> 只看输入与最终输出，无法区分“没形成、忘记了、知道但没用、发生冲突、恢复失败”。</w:t>
      </w:r>
    </w:p>
    <w:p>
      <w:r>
        <w:rPr>
          <w:rFonts w:ascii="Calibri" w:hAnsi="Calibri" w:eastAsia="PingFang SC"/>
        </w:rPr>
        <w:t>DeepAlign-Bench 的核心增量因此不是“再加几个 persona”，而是以反事实识别、预先冻结的差异真值、多源用户信号、长程干扰和 judge 审计建立更强的测量效度。</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。[5]</w:t>
      </w:r>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个领域，采用自适应报告质量标准并分开评估引用有效性与准确性；说明深度调研需要“内容质量”和“检索证据”双轨评分。[6]</w:t>
      </w:r>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同时评估答案正确性与来源归因；说明复杂任务应拆成可追踪的证据树。[7]</w:t>
      </w:r>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只能作为生态有效性轨。[8]</w:t>
      </w:r>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与“评委也要被考试”。[9]</w:t>
      </w:r>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等），说明直接复制自然语言类别会产生边界重叠与计数不一致；本项目因此合并为较稳定的上位意图，并公开映射表。[10]</w:t>
      </w:r>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应并存。[11]</w:t>
      </w:r>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avoidance、事实性和报告质量评分；说明用户信息和任务证据在真实环境中经常来自私有空间。[12]</w:t>
      </w:r>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过拟合。[13]</w:t>
      </w:r>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仍需交换增强、参考答案和对抗集处理。[14][15]</w:t>
      </w:r>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为金标准。[16]</w:t>
      </w:r>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与推理结构才是更可比较的需求属性。[17]</w:t>
      </w:r>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daily”二分标签。[18]</w:t>
      </w:r>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fan-out、动态约束与复杂验证链。[19][20]</w:t>
      </w:r>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taxonomy。[21]</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2"/>
        </w:numPr>
        <w:spacing w:after="80" w:line="290" w:lineRule="auto"/>
        <w:ind w:left="540" w:hanging="279"/>
      </w:pPr>
      <w:r>
        <w:rPr>
          <w:rFonts w:ascii="Calibri" w:hAnsi="Calibri" w:eastAsia="PingFang SC"/>
        </w:rPr>
        <w:t>需要多步信息获取、验证、综合或实验；</w:t>
      </w:r>
    </w:p>
    <w:p>
      <w:pPr>
        <w:numPr>
          <w:ilvl w:val="0"/>
          <w:numId w:val="12"/>
        </w:numPr>
        <w:spacing w:after="80" w:line="290" w:lineRule="auto"/>
        <w:ind w:left="540" w:hanging="279"/>
      </w:pPr>
      <w:r>
        <w:rPr>
          <w:rFonts w:ascii="Calibri" w:hAnsi="Calibri" w:eastAsia="PingFang SC"/>
        </w:rPr>
        <w:t>存在不止一种合理过程路径；</w:t>
      </w:r>
    </w:p>
    <w:p>
      <w:pPr>
        <w:numPr>
          <w:ilvl w:val="0"/>
          <w:numId w:val="12"/>
        </w:numPr>
        <w:spacing w:after="80" w:line="290" w:lineRule="auto"/>
        <w:ind w:left="540" w:hanging="279"/>
      </w:pPr>
      <w:r>
        <w:rPr>
          <w:rFonts w:ascii="Calibri" w:hAnsi="Calibri" w:eastAsia="PingFang SC"/>
        </w:rPr>
        <w:t>最终产物供真实用户决策、行动、理解或后续生产使用；</w:t>
      </w:r>
    </w:p>
    <w:p>
      <w:pPr>
        <w:numPr>
          <w:ilvl w:val="0"/>
          <w:numId w:val="12"/>
        </w:numPr>
        <w:spacing w:after="80" w:line="290" w:lineRule="auto"/>
        <w:ind w:left="540" w:hanging="279"/>
      </w:pPr>
      <w:r>
        <w:rPr>
          <w:rFonts w:ascii="Calibri" w:hAnsi="Calibri" w:eastAsia="PingFang SC"/>
        </w:rPr>
        <w:t>用户特征会改变至少一项合格交付标准；</w:t>
      </w:r>
    </w:p>
    <w:p>
      <w:pPr>
        <w:numPr>
          <w:ilvl w:val="0"/>
          <w:numId w:val="12"/>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类别：[23]</w:t>
      </w:r>
    </w:p>
    <w:p>
      <w:pPr>
        <w:numPr>
          <w:ilvl w:val="0"/>
          <w:numId w:val="13"/>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3"/>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3"/>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3"/>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先系统枚举场景与指标空间，再基于覆盖和可行性选择子集并明确缺口；这正适合本项目的两个月约束。[22]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对目标、方法、来源与限制的标准化，也支持把元数据、覆盖声明和版本记录纳入主贡献而非附录。[24][25]</w:t>
      </w:r>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4"/>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4"/>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4"/>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4"/>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4"/>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4"/>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4.2 个性化结果风险：最终交付物错在何处</w:t>
      </w:r>
    </w:p>
    <w:p>
      <w:pPr>
        <w:numPr>
          <w:ilvl w:val="0"/>
          <w:numId w:val="15"/>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5"/>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5"/>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5"/>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5"/>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5"/>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5"/>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5"/>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6"/>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6"/>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6"/>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6"/>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6"/>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6"/>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6"/>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6"/>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6"/>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6"/>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ind w:left="360" w:right="216"/>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pPr>
        <w:pStyle w:val="ListBullet"/>
      </w:pPr>
      <w:r>
        <w:rPr>
          <w:rFonts w:ascii="Calibri" w:hAnsi="Calibri" w:eastAsia="PingFang SC"/>
          <w:b/>
        </w:rPr>
        <w:t>Frozen Core Track（两个月主实验）</w:t>
      </w:r>
      <w:r>
        <w:rPr>
          <w:rFonts w:ascii="Calibri" w:hAnsi="Calibri" w:eastAsia="PingFang SC"/>
        </w:rPr>
        <w:t>：固定语料、固定私有数据快照和确定性工具，负责可复现结论。</w:t>
      </w:r>
    </w:p>
    <w:p>
      <w:pPr>
        <w:pStyle w:val="ListBullet"/>
      </w:pPr>
      <w:r>
        <w:rPr>
          <w:rFonts w:ascii="Calibri" w:hAnsi="Calibri" w:eastAsia="PingFang SC"/>
          <w:b/>
        </w:rPr>
        <w:t>Live Web Track（生态附加实验）</w:t>
      </w:r>
      <w:r>
        <w:rPr>
          <w:rFonts w:ascii="Calibri" w:hAnsi="Calibri" w:eastAsia="PingFang SC"/>
        </w:rPr>
        <w:t>：只在预注册子集记录运行时间、搜索供应商与快照，不与 frozen 结果混排。</w:t>
      </w:r>
    </w:p>
    <w:p>
      <w:pPr>
        <w:pStyle w:val="ListBullet"/>
      </w:pPr>
      <w:r>
        <w:rPr>
          <w:rFonts w:ascii="Calibri" w:hAnsi="Calibri" w:eastAsia="PingFang SC"/>
          <w:b/>
        </w:rPr>
        <w:t>Longitudinal/Interactive Track（8 个 anchor family）</w:t>
      </w:r>
      <w:r>
        <w:rPr>
          <w:rFonts w:ascii="Calibri" w:hAnsi="Calibri" w:eastAsia="PingFang SC"/>
        </w:rPr>
        <w:t>：用户状态和环境中途变化，评估提问、更新、漂移与恢复。</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rPr>
        <w:t>每个 persona-task pairing 必须通过六项兼容性门：</w:t>
      </w:r>
    </w:p>
    <w:p>
      <w:pPr>
        <w:numPr>
          <w:ilvl w:val="0"/>
          <w:numId w:val="17"/>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17"/>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17"/>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17"/>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17"/>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17"/>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18"/>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18"/>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18"/>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18"/>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Adaptation）</w:t>
      </w:r>
      <w:r>
        <w:rPr>
          <w:rFonts w:ascii="Calibri" w:hAnsi="Calibri" w:eastAsia="PingFang SC"/>
        </w:rPr>
        <w:t>大于 0 才说明输出变化是“对的人得到对的版本”，而非所有报告都写得更长。另报告：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19"/>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19"/>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19"/>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19"/>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19"/>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泛化、成本和延迟。[14][15][16]</w:t>
      </w:r>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rPr>
        <w:t>商业 Deep Research：ChatGPT Deep Research、Gemini Deep Research、Perplexity Deep Research 等；</w:t>
      </w:r>
    </w:p>
    <w:p>
      <w:pPr>
        <w:pStyle w:val="ListBullet"/>
      </w:pPr>
      <w:r>
        <w:rPr>
          <w:rFonts w:ascii="Calibri" w:hAnsi="Calibri" w:eastAsia="PingFang SC"/>
        </w:rPr>
        <w:t>通用模型 + 搜索：统一搜索 API 与预算的受控基线；</w:t>
      </w:r>
    </w:p>
    <w:p>
      <w:pPr>
        <w:pStyle w:val="ListBullet"/>
      </w:pPr>
      <w:r>
        <w:rPr>
          <w:rFonts w:ascii="Calibri" w:hAnsi="Calibri" w:eastAsia="PingFang SC"/>
        </w:rPr>
        <w:t>开源 Deep Research：Open Deep Research、DeerFlow 等可复现实装；</w:t>
      </w:r>
    </w:p>
    <w:p>
      <w:pPr>
        <w:pStyle w:val="ListBullet"/>
      </w:pPr>
      <w:r>
        <w:rPr>
          <w:rFonts w:ascii="Calibri" w:hAnsi="Calibri" w:eastAsia="PingFang SC"/>
        </w:rPr>
        <w:t>多 agent 系统：研究、证据核验、写作分工架构；</w:t>
      </w:r>
    </w:p>
    <w:p>
      <w:pPr>
        <w:pStyle w:val="ListBullet"/>
      </w:pPr>
      <w:r>
        <w:rPr>
          <w:rFonts w:ascii="Calibri" w:hAnsi="Calibri" w:eastAsia="PingFang SC"/>
        </w:rPr>
        <w:t>代码/生产型 agent：Codex、Claude Code（CC）、CodeBuddy 等，评估仓库调研、实现与说明书交付；</w:t>
      </w:r>
    </w:p>
    <w:p>
      <w:pPr>
        <w:pStyle w:val="ListBullet"/>
      </w:pPr>
      <w:r>
        <w:rPr>
          <w:rFonts w:ascii="Calibri" w:hAnsi="Calibri" w:eastAsia="PingFang SC"/>
        </w:rPr>
        <w:t>记忆/用户建模增强：无记忆、检索式记忆、结构化用户模型、动态更新模块。</w:t>
      </w: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0"/>
        </w:numPr>
        <w:spacing w:after="80" w:line="290" w:lineRule="auto"/>
        <w:ind w:left="540" w:hanging="279"/>
      </w:pPr>
      <w:r>
        <w:rPr>
          <w:rFonts w:ascii="Calibri" w:hAnsi="Calibri" w:eastAsia="PingFang SC"/>
        </w:rPr>
        <w:t>Task only；</w:t>
      </w:r>
    </w:p>
    <w:p>
      <w:pPr>
        <w:numPr>
          <w:ilvl w:val="0"/>
          <w:numId w:val="20"/>
        </w:numPr>
        <w:spacing w:after="80" w:line="290" w:lineRule="auto"/>
        <w:ind w:left="540" w:hanging="279"/>
      </w:pPr>
      <w:r>
        <w:rPr>
          <w:rFonts w:ascii="Calibri" w:hAnsi="Calibri" w:eastAsia="PingFang SC"/>
        </w:rPr>
        <w:t>Oracle structured persona；</w:t>
      </w:r>
    </w:p>
    <w:p>
      <w:pPr>
        <w:numPr>
          <w:ilvl w:val="0"/>
          <w:numId w:val="20"/>
        </w:numPr>
        <w:spacing w:after="80" w:line="290" w:lineRule="auto"/>
        <w:ind w:left="540" w:hanging="279"/>
      </w:pPr>
      <w:r>
        <w:rPr>
          <w:rFonts w:ascii="Calibri" w:hAnsi="Calibri" w:eastAsia="PingFang SC"/>
        </w:rPr>
        <w:t>语义等价的自然对话历史；</w:t>
      </w:r>
    </w:p>
    <w:p>
      <w:pPr>
        <w:numPr>
          <w:ilvl w:val="0"/>
          <w:numId w:val="20"/>
        </w:numPr>
        <w:spacing w:after="80" w:line="290" w:lineRule="auto"/>
        <w:ind w:left="540" w:hanging="279"/>
      </w:pPr>
      <w:r>
        <w:rPr>
          <w:rFonts w:ascii="Calibri" w:hAnsi="Calibri" w:eastAsia="PingFang SC"/>
        </w:rPr>
        <w:t>历史 + 检索式 memory；</w:t>
      </w:r>
    </w:p>
    <w:p>
      <w:pPr>
        <w:numPr>
          <w:ilvl w:val="0"/>
          <w:numId w:val="20"/>
        </w:numPr>
        <w:spacing w:after="80" w:line="290" w:lineRule="auto"/>
        <w:ind w:left="540" w:hanging="279"/>
      </w:pPr>
      <w:r>
        <w:rPr>
          <w:rFonts w:ascii="Calibri" w:hAnsi="Calibri" w:eastAsia="PingFang SC"/>
        </w:rPr>
        <w:t>主动澄清；</w:t>
      </w:r>
    </w:p>
    <w:p>
      <w:pPr>
        <w:numPr>
          <w:ilvl w:val="0"/>
          <w:numId w:val="20"/>
        </w:numPr>
        <w:spacing w:after="80" w:line="290" w:lineRule="auto"/>
        <w:ind w:left="540" w:hanging="279"/>
      </w:pPr>
      <w:r>
        <w:rPr>
          <w:rFonts w:ascii="Calibri" w:hAnsi="Calibri" w:eastAsia="PingFang SC"/>
        </w:rPr>
        <w:t>Persona shuffled（错配用户，负对照）；</w:t>
      </w:r>
    </w:p>
    <w:p>
      <w:pPr>
        <w:numPr>
          <w:ilvl w:val="0"/>
          <w:numId w:val="20"/>
        </w:numPr>
        <w:spacing w:after="80" w:line="290" w:lineRule="auto"/>
        <w:ind w:left="540" w:hanging="279"/>
      </w:pPr>
      <w:r>
        <w:rPr>
          <w:rFonts w:ascii="Calibri" w:hAnsi="Calibri" w:eastAsia="PingFang SC"/>
        </w:rPr>
        <w:t>Irrelevant persona（无关属性，过度个性化探针）；</w:t>
      </w:r>
    </w:p>
    <w:p>
      <w:pPr>
        <w:numPr>
          <w:ilvl w:val="0"/>
          <w:numId w:val="20"/>
        </w:numPr>
        <w:spacing w:after="80" w:line="290" w:lineRule="auto"/>
        <w:ind w:left="540" w:hanging="279"/>
      </w:pPr>
      <w:r>
        <w:rPr>
          <w:rFonts w:ascii="Calibri" w:hAnsi="Calibri" w:eastAsia="PingFang SC"/>
        </w:rPr>
        <w:t>Contradictory/dated history（冲突与时效）；</w:t>
      </w:r>
    </w:p>
    <w:p>
      <w:pPr>
        <w:numPr>
          <w:ilvl w:val="0"/>
          <w:numId w:val="20"/>
        </w:numPr>
        <w:spacing w:after="80" w:line="290" w:lineRule="auto"/>
        <w:ind w:left="540" w:hanging="279"/>
      </w:pPr>
      <w:r>
        <w:rPr>
          <w:rFonts w:ascii="Calibri" w:hAnsi="Calibri" w:eastAsia="PingFang SC"/>
        </w:rPr>
        <w:t>Context dilution（不同长度和位置）；</w:t>
      </w:r>
    </w:p>
    <w:p>
      <w:pPr>
        <w:numPr>
          <w:ilvl w:val="0"/>
          <w:numId w:val="20"/>
        </w:numPr>
        <w:spacing w:after="80" w:line="290" w:lineRule="auto"/>
        <w:ind w:left="540" w:hanging="279"/>
      </w:pPr>
      <w:r>
        <w:rPr>
          <w:rFonts w:ascii="Calibri" w:hAnsi="Calibri" w:eastAsia="PingFang SC"/>
        </w:rPr>
        <w:t>Multi-agent handoff（含/不含用户模型交接）；</w:t>
      </w:r>
    </w:p>
    <w:p>
      <w:pPr>
        <w:numPr>
          <w:ilvl w:val="0"/>
          <w:numId w:val="20"/>
        </w:numPr>
        <w:spacing w:after="80" w:line="290" w:lineRule="auto"/>
        <w:ind w:left="540" w:hanging="279"/>
      </w:pPr>
      <w:r>
        <w:rPr>
          <w:rFonts w:ascii="Calibri" w:hAnsi="Calibri" w:eastAsia="PingFang SC"/>
        </w:rPr>
        <w:t>Re-anchor / pre-delivery checklist / verifier 修复。</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ind w:left="360" w:right="216"/>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把论文贡献锁定为三项可独立检验的方法创新：task cube 支撑的反事实任务族与 CFA；“结果风险—预期失败模式”双轴 taxonomy、预期/观察标签分离及长程衰减/恢复曲线；通过独立 JudgeBench 验证的冻结原子 rubric。任务、渠道和 agent 广度只是支撑外部效度，不作为唯一卖点。</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“个性化分只是长度、风格或关键词”</w:t>
      </w:r>
    </w:p>
    <w:p>
      <w:r>
        <w:rPr>
          <w:rFonts w:ascii="Calibri" w:hAnsi="Calibri" w:eastAsia="PingFang SC"/>
          <w:b/>
        </w:rPr>
        <w:t>攻击：</w:t>
      </w:r>
      <w:r>
        <w:rPr>
          <w:rFonts w:ascii="Calibri" w:hAnsi="Calibri" w:eastAsia="PingFang SC"/>
        </w:rPr>
        <w:t xml:space="preserve">长报告、复述 persona 的报告更容易得高分。 </w:t>
      </w:r>
      <w:r>
        <w:rPr>
          <w:rFonts w:ascii="Calibri" w:hAnsi="Calibri" w:eastAsia="PingFang SC"/>
          <w:b/>
        </w:rPr>
        <w:t>防守：</w:t>
      </w:r>
      <w:r>
        <w:rPr>
          <w:rFonts w:ascii="Calibri" w:hAnsi="Calibri" w:eastAsia="PingFang SC"/>
        </w:rPr>
        <w:t>使用 matched/swapped 反事实、长度匹配对抗集、关键词堆砌诱饵、Neutral Invariance 和 Specificity Precision；主指标必须同时提升两个方向的用户匹配优势。</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1"/>
      </w:pPr>
      <w:r>
        <w:t>12. 预期贡献、成功标准与发表边界</w:t>
      </w:r>
    </w:p>
    <w:p>
      <w:pPr>
        <w:pStyle w:val="Heading2"/>
      </w:pPr>
      <w:r>
        <w:t>12.1 预期贡献</w:t>
      </w:r>
    </w:p>
    <w:p>
      <w:pPr>
        <w:numPr>
          <w:ilvl w:val="0"/>
          <w:numId w:val="21"/>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1"/>
        </w:numPr>
        <w:spacing w:after="80" w:line="290" w:lineRule="auto"/>
        <w:ind w:left="540" w:hanging="279"/>
      </w:pPr>
      <w:r>
        <w:rPr>
          <w:rFonts w:ascii="Calibri" w:hAnsi="Calibri" w:eastAsia="PingFang SC"/>
        </w:rPr>
        <w:t>以反事实任务族识别 Deep Research 最终交付物个性化，而不是把 persona 条件下的高分直接解释成适配；</w:t>
      </w:r>
    </w:p>
    <w:p>
      <w:pPr>
        <w:numPr>
          <w:ilvl w:val="0"/>
          <w:numId w:val="21"/>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1"/>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1"/>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1"/>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 和无关信息 invariance 三项中的适用检查；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2"/>
        </w:numPr>
        <w:spacing w:after="80" w:line="290" w:lineRule="auto"/>
        <w:ind w:left="540" w:hanging="279"/>
      </w:pPr>
      <w:r>
        <w:rPr>
          <w:rFonts w:ascii="Calibri" w:hAnsi="Calibri" w:eastAsia="PingFang SC"/>
          <w:b/>
        </w:rPr>
        <w:t>Introduction</w:t>
      </w:r>
      <w:r>
        <w:rPr>
          <w:rFonts w:ascii="Calibri" w:hAnsi="Calibri" w:eastAsia="PingFang SC"/>
        </w:rPr>
        <w:t>：现有 Deep Research 只测“好不好”，缺少“是否对这个用户好”；提出反事实识别与三项贡献。</w:t>
      </w:r>
    </w:p>
    <w:p>
      <w:pPr>
        <w:numPr>
          <w:ilvl w:val="0"/>
          <w:numId w:val="22"/>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2"/>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2"/>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2"/>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2"/>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2"/>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2"/>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2"/>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 anchor family 承担错配、无关、冲突/过期、长程和动态更新测试。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w:t>
      </w:r>
      <w:r>
        <w:rPr>
          <w:rFonts w:ascii="Calibri" w:hAnsi="Calibri" w:eastAsia="PingFang SC"/>
        </w:rPr>
        <w:t>：一个商业 Deep Research、一个统一 harness agent、一个开源 agent 全量运行；代码、多 agent、memory-enhanced 系统仅作为 anchor probe，并通过 eligibility predicate 保证任务适配。</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：首版证明的是 ontology 可运行、反事实个性化可测、不同信号渠道和 agent 会产生可诊断差异；不声称穷尽所有 DR 模式，也不对 18 个 task-cube 单元分别建立稳定排行榜。宏大性体现在 Atlas、coverage manifest、rubric compiler 和可扩展协议，而不是虚假的全覆盖。</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arXiv:2605.19276, 2026. https://arxiv.org/abs/2605.19276</w:t>
      </w:r>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https://evalscope.readthedocs.io/en/refact_readme/get_started/introduction.html</w:t>
      </w:r>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arXiv:2412.14470, 2024/2025. https://arxiv.org/abs/2412.14470</w:t>
      </w:r>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arXiv:2509.25106; ICLR 2026. https://arxiv.org/abs/2509.25106</w:t>
      </w:r>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https://macaron.im/mindlab/research/macaron-v1-preview</w:t>
      </w:r>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arXiv:2506.11763. https://arxiv.org/abs/2506.11763</w:t>
      </w:r>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arXiv:2506.21506. https://arxiv.org/abs/2506.21506</w:t>
      </w:r>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arXiv:2508.06600. https://arxiv.org/abs/2508.06600</w:t>
      </w:r>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OpenAI, 2025. https://openai.com/index/paperbench/</w:t>
      </w:r>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https://livedeepresearch.github.io/</w:t>
      </w:r>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arXiv:2505.19253. https://arxiv.org/abs/2505.19253</w:t>
      </w:r>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arXiv:2510.00172; ICLR 2026. https://arxiv.org/abs/2510.00172</w:t>
      </w:r>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ICLR 2025. https://livebench.ai/</w:t>
      </w:r>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arXiv:2310.17631, 2023. https://arxiv.org/abs/2310.17631</w:t>
      </w:r>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arXiv:2405.01535, 2024. https://arxiv.org/abs/2405.01535</w:t>
      </w:r>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arXiv:2403.02839, 2024. https://arxiv.org/abs/2403.02839</w:t>
      </w:r>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arXiv:2508.04183; ICLR 2026. https://arxiv.org/abs/2508.04183</w:t>
      </w:r>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arXiv:2511.07685; ICLR 2026. https://arxiv.org/abs/2511.07685</w:t>
      </w:r>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https://arxiv.org/abs/2407.15711</w:t>
      </w:r>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arXiv:2402.17896, 2024. https://arxiv.org/abs/2402.17896</w:t>
      </w:r>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arXiv:2507.16280, 2025. https://arxiv.org/abs/2507.16280</w:t>
      </w:r>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TMLR, 2023. https://arxiv.org/abs/2211.09110</w:t>
      </w:r>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ACL, 2020. https://aclanthology.org/2020.acl-main.442/</w:t>
      </w:r>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arXiv:2411.12990, 2024. https://arxiv.org/abs/2411.12990</w:t>
      </w:r>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NeurIPS Datasets and Benchmarks, 2025. https://papers.neurips.cc/paper_files/paper/2025/hash/76175f4355e2f67cf91be468c8860070-Abstract-Datasets_and_Benchmarks_Track.html</w:t>
      </w:r>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2026-08-01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2026-08-01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2026-08-01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PingFang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PingFang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PingFang SC"/>
      <w:b/>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