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40" w:after="360"/>
        <w:jc w:val="center"/>
      </w:pPr>
      <w:r>
        <w:rPr>
          <w:rFonts w:ascii="Calibri" w:hAnsi="Calibri" w:eastAsia="PingFang SC"/>
          <w:b/>
          <w:color w:val="B68026"/>
          <w:sz w:val="22"/>
        </w:rPr>
        <w:t>CONDENSED RESEARCH PROPOSAL</w:t>
      </w:r>
    </w:p>
    <w:p>
      <w:pPr>
        <w:spacing w:after="160"/>
        <w:jc w:val="center"/>
      </w:pPr>
      <w:r>
        <w:rPr>
          <w:rFonts w:ascii="Calibri" w:hAnsi="Calibri" w:eastAsia="PingFang SC"/>
          <w:b/>
          <w:color w:val="163A63"/>
          <w:sz w:val="60"/>
        </w:rPr>
        <w:t>DeepAlign-Bench</w:t>
      </w:r>
    </w:p>
    <w:p>
      <w:pPr>
        <w:spacing w:after="360"/>
        <w:jc w:val="center"/>
      </w:pPr>
      <w:r>
        <w:rPr>
          <w:rFonts w:ascii="Calibri" w:hAnsi="Calibri" w:eastAsia="PingFang SC"/>
          <w:color w:val="2E74B5"/>
          <w:sz w:val="34"/>
        </w:rPr>
        <w:t>个性化 Deep Research 交付物的下游决策效用评测</w:t>
      </w:r>
    </w:p>
    <w:p>
      <w:pPr>
        <w:spacing w:after="520"/>
        <w:jc w:val="center"/>
        <w:pBdr>
          <w:bottom w:val="single" w:sz="8" w:space="8" w:color="7A9BB7"/>
        </w:pBdr>
      </w:pPr>
      <w:r>
        <w:rPr>
          <w:rFonts w:ascii="Calibri" w:hAnsi="Calibri" w:eastAsia="PingFang SC"/>
          <w:b/>
          <w:color w:val="5B6B7A"/>
          <w:sz w:val="21"/>
        </w:rPr>
        <w:t>正式论文 Proposal 精简版 · 约 10 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  <w:jc w:val="center"/>
            </w:pPr>
            <w:r/>
            <w:r>
              <w:rPr>
                <w:rFonts w:ascii="Calibri" w:hAnsi="Calibri" w:eastAsia="PingFang SC"/>
                <w:b/>
                <w:color w:val="163A63"/>
                <w:sz w:val="21"/>
              </w:rPr>
              <w:t>文档版本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  <w:jc w:val="center"/>
            </w:pPr>
            <w:r/>
            <w:r>
              <w:rPr>
                <w:rFonts w:ascii="Calibri" w:hAnsi="Calibri" w:eastAsia="PingFang SC"/>
                <w:b w:val="0"/>
                <w:color w:val="5B6B7A"/>
                <w:sz w:val="21"/>
              </w:rPr>
              <w:t>v0.33 · 正式精简版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Calibri" w:hAnsi="Calibri" w:eastAsia="PingFang SC"/>
                <w:b/>
                <w:color w:val="163A63"/>
                <w:sz w:val="21"/>
              </w:rPr>
              <w:t>日期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Calibri" w:hAnsi="Calibri" w:eastAsia="PingFang SC"/>
                <w:b w:val="0"/>
                <w:color w:val="5B6B7A"/>
                <w:sz w:val="21"/>
              </w:rPr>
              <w:t>2026 年 8 月 9 日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  <w:jc w:val="center"/>
            </w:pPr>
            <w:r/>
            <w:r>
              <w:rPr>
                <w:rFonts w:ascii="Calibri" w:hAnsi="Calibri" w:eastAsia="PingFang SC"/>
                <w:b/>
                <w:color w:val="163A63"/>
                <w:sz w:val="21"/>
              </w:rPr>
              <w:t>研究主线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  <w:jc w:val="center"/>
            </w:pPr>
            <w:r/>
            <w:r>
              <w:rPr>
                <w:rFonts w:ascii="Calibri" w:hAnsi="Calibri" w:eastAsia="PingFang SC"/>
                <w:b w:val="0"/>
                <w:color w:val="5B6B7A"/>
                <w:sz w:val="21"/>
              </w:rPr>
              <w:t>Problem · Research Questions · Method · Evaluation · Validity · Timeline</w:t>
            </w:r>
          </w:p>
        </w:tc>
      </w:tr>
    </w:tbl>
    <w:p>
      <w:pPr>
        <w:spacing w:before="520" w:after="160"/>
        <w:jc w:val="center"/>
      </w:pPr>
      <w:r>
        <w:rPr>
          <w:rFonts w:ascii="Calibri" w:hAnsi="Calibri" w:eastAsia="PingFang SC"/>
          <w:b/>
          <w:color w:val="2E74B5"/>
          <w:sz w:val="22"/>
        </w:rPr>
        <w:t>核心命题</w:t>
      </w:r>
    </w:p>
    <w:p>
      <w:pPr>
        <w:spacing w:after="0"/>
        <w:ind w:left="720" w:right="720"/>
        <w:jc w:val="center"/>
      </w:pPr>
      <w:r>
        <w:rPr>
          <w:rFonts w:ascii="Calibri" w:hAnsi="Calibri" w:eastAsia="PingFang SC"/>
          <w:b/>
          <w:color w:val="163A63"/>
          <w:sz w:val="24"/>
        </w:rPr>
        <w:t>Phase A 先配平并验证三臂报告；Phase B 再用真实目标用户的 decision regret 估计 DDE 与 wrong-user harm。</w:t>
      </w:r>
    </w:p>
    <w:p>
      <w:r>
        <w:br w:type="page"/>
      </w:r>
    </w:p>
    <w:p>
      <w:pPr>
        <w:pStyle w:val="Heading1"/>
      </w:pPr>
      <w:r>
        <w:t>摘要</w:t>
      </w:r>
    </w:p>
    <w:p>
      <w:r>
        <w:rPr>
          <w:rFonts w:ascii="Calibri" w:hAnsi="Calibri" w:eastAsia="PingFang SC"/>
        </w:rPr>
        <w:t>PDR-Bench 已能评价给定 task 与 persona 时，一份 Deep Research 报告是否适合目标用户；</w:t>
      </w:r>
      <w:hyperlink r:id="rId11">
        <w:r>
          <w:rPr>
            <w:rFonts w:ascii="Calibri" w:hAnsi="Calibri" w:eastAsia="PingFang SC"/>
            <w:color w:val="2E74B5"/>
            <w:u w:val="single"/>
          </w:rPr>
          <w:t>[3]</w:t>
        </w:r>
      </w:hyperlink>
      <w:r>
        <w:rPr>
          <w:rFonts w:ascii="Calibri" w:hAnsi="Calibri" w:eastAsia="PingFang SC"/>
        </w:rPr>
        <w:t xml:space="preserve"> MyScholarQA 又表明，合成用户与 LLM judge 会漏掉真人指出的细微错误。</w:t>
      </w:r>
      <w:hyperlink r:id="rId12">
        <w:r>
          <w:rPr>
            <w:rFonts w:ascii="Calibri" w:hAnsi="Calibri" w:eastAsia="PingFang SC"/>
            <w:color w:val="2E74B5"/>
            <w:u w:val="single"/>
          </w:rPr>
          <w:t>[16]</w:t>
        </w:r>
      </w:hyperlink>
      <w:r>
        <w:rPr>
          <w:rFonts w:ascii="Calibri" w:hAnsi="Calibri" w:eastAsia="PingFang SC"/>
        </w:rPr>
        <w:t xml:space="preserve"> 因此，继续把核心贡献写成“更严格的个性化适配分”与现有工作的感知距离仍然偏小。DeepAlign-Bench v0.32 将研究终点从 </w:t>
      </w:r>
      <w:r>
        <w:rPr>
          <w:rFonts w:ascii="Calibri" w:hAnsi="Calibri" w:eastAsia="PingFang SC"/>
          <w:b/>
        </w:rPr>
        <w:t>artifact fit</w:t>
      </w:r>
      <w:r>
        <w:rPr>
          <w:rFonts w:ascii="Calibri" w:hAnsi="Calibri" w:eastAsia="PingFang SC"/>
        </w:rPr>
        <w:t xml:space="preserve"> 收敛为 </w:t>
      </w:r>
      <w:r>
        <w:rPr>
          <w:rFonts w:ascii="Calibri" w:hAnsi="Calibri" w:eastAsia="PingFang SC"/>
          <w:b/>
        </w:rPr>
        <w:t>downstream decision utility</w:t>
      </w:r>
      <w:r>
        <w:rPr>
          <w:rFonts w:ascii="Calibri" w:hAnsi="Calibri" w:eastAsia="PingFang SC"/>
        </w:rPr>
        <w:t>：在任务、证据、预算与报告共同质量受控后，matched personalized report 相对 task-only report 是否降低真实目标用户的决策 regret；wrong-user report 是否造成可测伤害。</w:t>
      </w:r>
    </w:p>
    <w:p>
      <w:r>
        <w:rPr>
          <w:rFonts w:ascii="Calibri" w:hAnsi="Calibri" w:eastAsia="PingFang SC"/>
        </w:rPr>
        <w:t>Benchmark 采用两阶段协议。Phase A 复用 matched/swapped、must-change/must-hold/must-not、事实可靠性和 JudgeBench，确保进入真人实验的报告在共同质量、长度、关键证据与边界上可比。Phase B 将 task-only、matched、swapped 报告作为三种处理，在反事实等价 task shell 上对真实用户做区组随机、顺序平衡和盲化；主指标为 Downstream Decision Effect（DDE）、WrongUserHarm、硬约束违规与置信度校准。PF/CFA 变为处理操纵检查和中介，不再承担论文主结论。</w:t>
      </w:r>
    </w:p>
    <w:p>
      <w:r>
        <w:rPr>
          <w:rFonts w:ascii="Calibri" w:hAnsi="Calibri" w:eastAsia="PingFang SC"/>
        </w:rPr>
        <w:t>两个月版本先完成 3 个 decision vertical slice；通过 utility validity、task-shell 等价、报告配平和盲化门后，扩到 8–12 个决策 family、约 36–48 名真实目标用户和 2–3 条 agent/报告生成管线。最终样本量由 pilot 方差和最小有意义 regret 改善做功效模拟后冻结。</w:t>
      </w:r>
    </w:p>
    <w:p>
      <w:pPr>
        <w:pStyle w:val="Heading1"/>
      </w:pPr>
      <w:r>
        <w:t>1. 研究背景与缺口</w:t>
      </w:r>
    </w:p>
    <w:p>
      <w:pPr>
        <w:pStyle w:val="Heading2"/>
      </w:pPr>
      <w:r>
        <w:t>1.1 为什么不能继续只做“个性化 vs 适配”</w:t>
      </w:r>
    </w:p>
    <w:p>
      <w:r>
        <w:rPr>
          <w:rFonts w:ascii="Calibri" w:hAnsi="Calibri" w:eastAsia="PingFang SC"/>
        </w:rPr>
        <w:t>个性化 agent 已从用户历史扩展到任务对话、工具调用、长程记忆和 GUI 行动。LaMP、PersonaLens、ETAPP、PersonaMem、Mem2ActBench 与 AndroidIntent 分别覆盖个性化生成、任务对话、主动工具、动态画像、记忆到行动和长期 GUI 意图。</w:t>
      </w:r>
      <w:hyperlink r:id="rId13">
        <w:r>
          <w:rPr>
            <w:rFonts w:ascii="Calibri" w:hAnsi="Calibri" w:eastAsia="PingFang SC"/>
            <w:color w:val="2E74B5"/>
            <w:u w:val="single"/>
          </w:rPr>
          <w:t>[11]</w:t>
        </w:r>
      </w:hyperlink>
      <w:hyperlink r:id="rId14">
        <w:r>
          <w:rPr>
            <w:rFonts w:ascii="Calibri" w:hAnsi="Calibri" w:eastAsia="PingFang SC"/>
            <w:color w:val="2E74B5"/>
            <w:u w:val="single"/>
          </w:rPr>
          <w:t>[12]</w:t>
        </w:r>
      </w:hyperlink>
      <w:hyperlink r:id="rId15">
        <w:r>
          <w:rPr>
            <w:rFonts w:ascii="Calibri" w:hAnsi="Calibri" w:eastAsia="PingFang SC"/>
            <w:color w:val="2E74B5"/>
            <w:u w:val="single"/>
          </w:rPr>
          <w:t>[13]</w:t>
        </w:r>
      </w:hyperlink>
      <w:hyperlink r:id="rId16">
        <w:r>
          <w:rPr>
            <w:rFonts w:ascii="Calibri" w:hAnsi="Calibri" w:eastAsia="PingFang SC"/>
            <w:color w:val="2E74B5"/>
            <w:u w:val="single"/>
          </w:rPr>
          <w:t>[14]</w:t>
        </w:r>
      </w:hyperlink>
      <w:hyperlink r:id="rId17">
        <w:r>
          <w:rPr>
            <w:rFonts w:ascii="Calibri" w:hAnsi="Calibri" w:eastAsia="PingFang SC"/>
            <w:color w:val="2E74B5"/>
            <w:u w:val="single"/>
          </w:rPr>
          <w:t>[18]</w:t>
        </w:r>
      </w:hyperlink>
      <w:hyperlink r:id="rId18">
        <w:r>
          <w:rPr>
            <w:rFonts w:ascii="Calibri" w:hAnsi="Calibri" w:eastAsia="PingFang SC"/>
            <w:color w:val="2E74B5"/>
            <w:u w:val="single"/>
          </w:rPr>
          <w:t>[20]</w:t>
        </w:r>
      </w:hyperlink>
      <w:r>
        <w:rPr>
          <w:rFonts w:ascii="Calibri" w:hAnsi="Calibri" w:eastAsia="PingFang SC"/>
        </w:rPr>
        <w:t xml:space="preserve"> PDR-Bench 与 PDR 2026 已直接进入个性化 Deep Research。</w:t>
      </w:r>
      <w:hyperlink r:id="rId11">
        <w:r>
          <w:rPr>
            <w:rFonts w:ascii="Calibri" w:hAnsi="Calibri" w:eastAsia="PingFang SC"/>
            <w:color w:val="2E74B5"/>
            <w:u w:val="single"/>
          </w:rPr>
          <w:t>[3]</w:t>
        </w:r>
      </w:hyperlink>
      <w:hyperlink r:id="rId19">
        <w:r>
          <w:rPr>
            <w:rFonts w:ascii="Calibri" w:hAnsi="Calibri" w:eastAsia="PingFang SC"/>
            <w:color w:val="2E74B5"/>
            <w:u w:val="single"/>
          </w:rPr>
          <w:t>[15]</w:t>
        </w:r>
      </w:hyperlink>
    </w:p>
    <w:p>
      <w:r>
        <w:rPr>
          <w:rFonts w:ascii="Calibri" w:hAnsi="Calibri" w:eastAsia="PingFang SC"/>
        </w:rPr>
        <w:t>v0.31 用 2×2 matched/swapped 矩阵与 task-only uplift 识别 counterfactual fit，比 absolute adaptation 更严格；但它仍回答“报告更像是为谁写的”。PDR 的 P-Score 与 DeepAlign 的 CFA 在统计对象上不同，在研究终点上却都属于 artifact-level fit。对 agent 后续研究更有价值的 gap 是：</w:t>
      </w:r>
      <w:r>
        <w:rPr>
          <w:rFonts w:ascii="Calibri" w:hAnsi="Calibri" w:eastAsia="PingFang SC"/>
          <w:b/>
        </w:rPr>
        <w:t>这种 fit 是否对真实用户的行为结果具有代理效度。</w:t>
      </w:r>
    </w:p>
    <w:p>
      <w:pPr>
        <w:pStyle w:val="Heading2"/>
      </w:pPr>
      <w:r>
        <w:t>1.2 为什么不转向澄清、权限、委派或证据抗噪</w:t>
      </w:r>
    </w:p>
    <w:p>
      <w:r>
        <w:rPr>
          <w:rFonts w:ascii="Calibri" w:hAnsi="Calibri" w:eastAsia="PingFang SC"/>
        </w:rPr>
        <w:t>2026 年最近邻检索显示，这些方向都已形成 benchmark 群：ClarifyBench、HiL-Bench、UserBench 与 ATRBench 覆盖何时提问、选择性升级和未来偏好；</w:t>
      </w:r>
      <w:hyperlink r:id="rId20">
        <w:r>
          <w:rPr>
            <w:rFonts w:ascii="Calibri" w:hAnsi="Calibri" w:eastAsia="PingFang SC"/>
            <w:color w:val="2E74B5"/>
            <w:u w:val="single"/>
          </w:rPr>
          <w:t>[21]</w:t>
        </w:r>
      </w:hyperlink>
      <w:hyperlink r:id="rId21">
        <w:r>
          <w:rPr>
            <w:rFonts w:ascii="Calibri" w:hAnsi="Calibri" w:eastAsia="PingFang SC"/>
            <w:color w:val="2E74B5"/>
            <w:u w:val="single"/>
          </w:rPr>
          <w:t>[22]</w:t>
        </w:r>
      </w:hyperlink>
      <w:hyperlink r:id="rId22">
        <w:r>
          <w:rPr>
            <w:rFonts w:ascii="Calibri" w:hAnsi="Calibri" w:eastAsia="PingFang SC"/>
            <w:color w:val="2E74B5"/>
            <w:u w:val="single"/>
          </w:rPr>
          <w:t>[23]</w:t>
        </w:r>
      </w:hyperlink>
      <w:hyperlink r:id="rId23">
        <w:r>
          <w:rPr>
            <w:rFonts w:ascii="Calibri" w:hAnsi="Calibri" w:eastAsia="PingFang SC"/>
            <w:color w:val="2E74B5"/>
            <w:u w:val="single"/>
          </w:rPr>
          <w:t>[24]</w:t>
        </w:r>
      </w:hyperlink>
      <w:r>
        <w:rPr>
          <w:rFonts w:ascii="Calibri" w:hAnsi="Calibri" w:eastAsia="PingFang SC"/>
        </w:rPr>
        <w:t xml:space="preserve"> SovereignPA、HAS-Bench、IGAC 与 SentinelAgent 覆盖变化意图、权限图、意图证书和多 agent 委派链；</w:t>
      </w:r>
      <w:hyperlink r:id="rId24">
        <w:r>
          <w:rPr>
            <w:rFonts w:ascii="Calibri" w:hAnsi="Calibri" w:eastAsia="PingFang SC"/>
            <w:color w:val="2E74B5"/>
            <w:u w:val="single"/>
          </w:rPr>
          <w:t>[25]</w:t>
        </w:r>
      </w:hyperlink>
      <w:hyperlink r:id="rId25">
        <w:r>
          <w:rPr>
            <w:rFonts w:ascii="Calibri" w:hAnsi="Calibri" w:eastAsia="PingFang SC"/>
            <w:color w:val="2E74B5"/>
            <w:u w:val="single"/>
          </w:rPr>
          <w:t>[26]</w:t>
        </w:r>
      </w:hyperlink>
      <w:hyperlink r:id="rId26">
        <w:r>
          <w:rPr>
            <w:rFonts w:ascii="Calibri" w:hAnsi="Calibri" w:eastAsia="PingFang SC"/>
            <w:color w:val="2E74B5"/>
            <w:u w:val="single"/>
          </w:rPr>
          <w:t>[27]</w:t>
        </w:r>
      </w:hyperlink>
      <w:hyperlink r:id="rId27">
        <w:r>
          <w:rPr>
            <w:rFonts w:ascii="Calibri" w:hAnsi="Calibri" w:eastAsia="PingFang SC"/>
            <w:color w:val="2E74B5"/>
            <w:u w:val="single"/>
          </w:rPr>
          <w:t>[28]</w:t>
        </w:r>
      </w:hyperlink>
      <w:r>
        <w:rPr>
          <w:rFonts w:ascii="Calibri" w:hAnsi="Calibri" w:eastAsia="PingFang SC"/>
        </w:rPr>
        <w:t xml:space="preserve"> MisKnow-Agent、DRNOISE、DeepFact 与 Mr Dre 覆盖误导知识、冲突文档、事实核验和多轮报告修订。</w:t>
      </w:r>
      <w:hyperlink r:id="rId28">
        <w:r>
          <w:rPr>
            <w:rFonts w:ascii="Calibri" w:hAnsi="Calibri" w:eastAsia="PingFang SC"/>
            <w:color w:val="2E74B5"/>
            <w:u w:val="single"/>
          </w:rPr>
          <w:t>[29]</w:t>
        </w:r>
      </w:hyperlink>
      <w:hyperlink r:id="rId29">
        <w:r>
          <w:rPr>
            <w:rFonts w:ascii="Calibri" w:hAnsi="Calibri" w:eastAsia="PingFang SC"/>
            <w:color w:val="2E74B5"/>
            <w:u w:val="single"/>
          </w:rPr>
          <w:t>[30]</w:t>
        </w:r>
      </w:hyperlink>
      <w:hyperlink r:id="rId30">
        <w:r>
          <w:rPr>
            <w:rFonts w:ascii="Calibri" w:hAnsi="Calibri" w:eastAsia="PingFang SC"/>
            <w:color w:val="2E74B5"/>
            <w:u w:val="single"/>
          </w:rPr>
          <w:t>[31]</w:t>
        </w:r>
      </w:hyperlink>
      <w:hyperlink r:id="rId31">
        <w:r>
          <w:rPr>
            <w:rFonts w:ascii="Calibri" w:hAnsi="Calibri" w:eastAsia="PingFang SC"/>
            <w:color w:val="2E74B5"/>
            <w:u w:val="single"/>
          </w:rPr>
          <w:t>[32]</w:t>
        </w:r>
      </w:hyperlink>
    </w:p>
    <w:p>
      <w:r>
        <w:rPr>
          <w:rFonts w:ascii="Calibri" w:hAnsi="Calibri" w:eastAsia="PingFang SC"/>
        </w:rPr>
        <w:t xml:space="preserve">这些模块可成为 DeepAlign 的 stress layer，但不足以作为主方向。TARS 是 </w:t>
      </w:r>
      <w:r>
        <w:rPr>
          <w:rFonts w:ascii="Courier New" w:hAnsi="Courier New" w:eastAsia="PingFang SC"/>
          <w:color w:val="6A3E00"/>
          <w:sz w:val="20"/>
        </w:rPr>
        <w:t>personalized artifact → human task outcome</w:t>
      </w:r>
      <w:r>
        <w:rPr>
          <w:rFonts w:ascii="Calibri" w:hAnsi="Calibri" w:eastAsia="PingFang SC"/>
        </w:rPr>
        <w:t xml:space="preserve"> 的最近邻：18 人 IDE 研究同时测时间、正确性、认知负担和主观适配；</w:t>
      </w:r>
      <w:hyperlink r:id="rId32">
        <w:r>
          <w:rPr>
            <w:rFonts w:ascii="Calibri" w:hAnsi="Calibri" w:eastAsia="PingFang SC"/>
            <w:color w:val="2E74B5"/>
            <w:u w:val="single"/>
          </w:rPr>
          <w:t>[8]</w:t>
        </w:r>
      </w:hyperlink>
      <w:r>
        <w:rPr>
          <w:rFonts w:ascii="Calibri" w:hAnsi="Calibri" w:eastAsia="PingFang SC"/>
        </w:rPr>
        <w:t xml:space="preserve"> 但它是单域小样本。截止本轮检索，尚未找到跨领域 benchmark 同时具备真实目标用户、个性化 DR 报告作为随机处理、可验证决策效用主终点和 wrong-user 负对照。该结论应以检索范围限定，不写成无保留“全球首个”。</w:t>
      </w:r>
    </w:p>
    <w:p>
      <w:pPr>
        <w:pStyle w:val="Heading1"/>
      </w:pPr>
      <w:r>
        <w:t>2. 研究问题与可证伪假设</w:t>
      </w:r>
    </w:p>
    <w:p>
      <w:pPr>
        <w:pStyle w:val="Heading2"/>
      </w:pPr>
      <w:r>
        <w:t>2.1 研究问题</w:t>
      </w:r>
    </w:p>
    <w:p>
      <w:pPr>
        <w:pStyle w:val="ListBullet"/>
      </w:pPr>
      <w:r>
        <w:rPr>
          <w:rFonts w:ascii="Calibri" w:hAnsi="Calibri" w:eastAsia="PingFang SC"/>
          <w:b/>
        </w:rPr>
        <w:t>RQ1（主问题）：</w:t>
      </w:r>
      <w:r>
        <w:rPr>
          <w:rFonts w:ascii="Calibri" w:hAnsi="Calibri" w:eastAsia="PingFang SC"/>
        </w:rPr>
        <w:t>共同质量受控后，matched report 相对 task-only report 是否降低目标用户的可验证决策 regret？</w:t>
      </w:r>
    </w:p>
    <w:p>
      <w:pPr>
        <w:pStyle w:val="ListBullet"/>
      </w:pPr>
      <w:r>
        <w:rPr>
          <w:rFonts w:ascii="Calibri" w:hAnsi="Calibri" w:eastAsia="PingFang SC"/>
          <w:b/>
        </w:rPr>
        <w:t>RQ2（负对照）：</w:t>
      </w:r>
      <w:r>
        <w:rPr>
          <w:rFonts w:ascii="Calibri" w:hAnsi="Calibri" w:eastAsia="PingFang SC"/>
        </w:rPr>
        <w:t>swapped report 是否相对 task-only 增加 regret、硬约束违规或错误置信？</w:t>
      </w:r>
    </w:p>
    <w:p>
      <w:pPr>
        <w:pStyle w:val="ListBullet"/>
      </w:pPr>
      <w:r>
        <w:rPr>
          <w:rFonts w:ascii="Calibri" w:hAnsi="Calibri" w:eastAsia="PingFang SC"/>
          <w:b/>
        </w:rPr>
        <w:t>RQ3（代理效度）：</w:t>
      </w:r>
      <w:r>
        <w:rPr>
          <w:rFonts w:ascii="Calibri" w:hAnsi="Calibri" w:eastAsia="PingFang SC"/>
        </w:rPr>
        <w:t>PF/CFA 能否预测 DDE；哪些 family 会出现“看起来更贴合，但决定没有更好”？</w:t>
      </w:r>
    </w:p>
    <w:p>
      <w:pPr>
        <w:pStyle w:val="ListBullet"/>
      </w:pPr>
      <w:r>
        <w:rPr>
          <w:rFonts w:ascii="Calibri" w:hAnsi="Calibri" w:eastAsia="PingFang SC"/>
          <w:b/>
        </w:rPr>
        <w:t>RQ4（异质性）：</w:t>
      </w:r>
      <w:r>
        <w:rPr>
          <w:rFonts w:ascii="Calibri" w:hAnsi="Calibri" w:eastAsia="PingFang SC"/>
        </w:rPr>
        <w:t>DDE 是否随任务、用户专业度、风险与 agent 管线发生稳定变化？</w:t>
      </w:r>
    </w:p>
    <w:p>
      <w:pPr>
        <w:pStyle w:val="Heading2"/>
      </w:pPr>
      <w:r>
        <w:t>2.2 假设与否证</w:t>
      </w:r>
    </w:p>
    <w:p>
      <w:pPr>
        <w:pStyle w:val="ListBullet"/>
      </w:pPr>
      <w:r>
        <w:rPr>
          <w:rFonts w:ascii="Calibri" w:hAnsi="Calibri" w:eastAsia="PingFang SC"/>
          <w:b/>
        </w:rPr>
        <w:t>H1：</w:t>
      </w:r>
      <w:r>
        <w:rPr>
          <w:rFonts w:ascii="Courier New" w:hAnsi="Courier New" w:eastAsia="PingFang SC"/>
          <w:color w:val="6A3E00"/>
          <w:sz w:val="20"/>
        </w:rPr>
        <w:t>DDE = Regret_task-only − Regret_matched &gt; 0</w:t>
      </w:r>
      <w:r>
        <w:rPr>
          <w:rFonts w:ascii="Calibri" w:hAnsi="Calibri" w:eastAsia="PingFang SC"/>
        </w:rPr>
        <w:t>。</w:t>
      </w:r>
    </w:p>
    <w:p>
      <w:pPr>
        <w:pStyle w:val="ListBullet"/>
      </w:pPr>
      <w:r>
        <w:rPr>
          <w:rFonts w:ascii="Calibri" w:hAnsi="Calibri" w:eastAsia="PingFang SC"/>
          <w:b/>
        </w:rPr>
        <w:t>H2：</w:t>
      </w:r>
      <w:r>
        <w:rPr>
          <w:rFonts w:ascii="Courier New" w:hAnsi="Courier New" w:eastAsia="PingFang SC"/>
          <w:color w:val="6A3E00"/>
          <w:sz w:val="20"/>
        </w:rPr>
        <w:t>WrongUserHarm = Regret_swapped − Regret_task-only &gt; 0</w:t>
      </w:r>
      <w:r>
        <w:rPr>
          <w:rFonts w:ascii="Calibri" w:hAnsi="Calibri" w:eastAsia="PingFang SC"/>
        </w:rPr>
        <w:t>，或 swapped 提高关键硬约束违规率。</w:t>
      </w:r>
    </w:p>
    <w:p>
      <w:pPr>
        <w:pStyle w:val="ListBullet"/>
      </w:pPr>
      <w:r>
        <w:rPr>
          <w:rFonts w:ascii="Calibri" w:hAnsi="Calibri" w:eastAsia="PingFang SC"/>
          <w:b/>
        </w:rPr>
        <w:t>H3：</w:t>
      </w:r>
      <w:r>
        <w:rPr>
          <w:rFonts w:ascii="Calibri" w:hAnsi="Calibri" w:eastAsia="PingFang SC"/>
        </w:rPr>
        <w:t>CFA 与 DDE 正相关但不完全等价；至少存在 CFA 高、DDE 近零或为负的预注册切片。</w:t>
      </w:r>
    </w:p>
    <w:p>
      <w:pPr>
        <w:pStyle w:val="ListBullet"/>
      </w:pPr>
      <w:r>
        <w:rPr>
          <w:rFonts w:ascii="Calibri" w:hAnsi="Calibri" w:eastAsia="PingFang SC"/>
          <w:b/>
        </w:rPr>
        <w:t>H4：</w:t>
      </w:r>
      <w:r>
        <w:rPr>
          <w:rFonts w:ascii="Calibri" w:hAnsi="Calibri" w:eastAsia="PingFang SC"/>
        </w:rPr>
        <w:t>证据依赖强、偏好改变可接受行动集合的 family，DDE 高于只改变解释深度或呈现风格的 family。</w:t>
      </w:r>
    </w:p>
    <w:p>
      <w:r>
        <w:rPr>
          <w:rFonts w:ascii="Calibri" w:hAnsi="Calibri" w:eastAsia="PingFang SC"/>
        </w:rPr>
        <w:t>若 utility 无法在输出前稳定冻结、等价 task shell 不可交换、报告共同质量无法配平或 DDE 在预注册区间内为零/负，核心主张被削弱。CFA 高而 DDE≈0 时，论文应报告 artifact-fit 代理失效，不能事后把 CFA 改回主终点。</w:t>
      </w:r>
    </w:p>
    <w:p>
      <w:pPr>
        <w:pStyle w:val="Heading1"/>
      </w:pPr>
      <w:r>
        <w:t>3. 两阶段 Benchmark 设计</w:t>
      </w:r>
    </w:p>
    <w:p>
      <w:pPr>
        <w:pStyle w:val="Heading2"/>
      </w:pPr>
      <w:r>
        <w:t>3.1 Phase A：Artifact Qualification</w:t>
      </w:r>
    </w:p>
    <w:p>
      <w:r>
        <w:rPr>
          <w:rFonts w:ascii="Calibri" w:hAnsi="Calibri" w:eastAsia="PingFang SC"/>
        </w:rPr>
        <w:t>每个 family 固定 evidence snapshot、工具、预算和交付格式，构造 task-only、matched、swapped 报告。用户状态只保留 2–4 个有决策后果的差异轴；每条 fact 记录来源、时间、相关性、敏感度与披露权限。</w:t>
      </w:r>
    </w:p>
    <w:p>
      <w:r>
        <w:rPr>
          <w:rFonts w:ascii="Calibri" w:hAnsi="Calibri" w:eastAsia="PingFang SC"/>
        </w:rPr>
        <w:t>运行前冻结四类契约：</w:t>
      </w:r>
    </w:p>
    <w:p>
      <w:pPr>
        <w:pStyle w:val="ListBullet"/>
      </w:pPr>
      <w:r>
        <w:rPr>
          <w:rFonts w:ascii="Calibri" w:hAnsi="Calibri" w:eastAsia="PingFang SC"/>
          <w:b/>
        </w:rPr>
        <w:t>must-change：</w:t>
      </w:r>
      <w:r>
        <w:rPr>
          <w:rFonts w:ascii="Calibri" w:hAnsi="Calibri" w:eastAsia="PingFang SC"/>
        </w:rPr>
        <w:t>不同用户必须改变的建议、取舍、深度或行动；</w:t>
      </w:r>
    </w:p>
    <w:p>
      <w:pPr>
        <w:pStyle w:val="ListBullet"/>
      </w:pPr>
      <w:r>
        <w:rPr>
          <w:rFonts w:ascii="Calibri" w:hAnsi="Calibri" w:eastAsia="PingFang SC"/>
          <w:b/>
        </w:rPr>
        <w:t>must-hold：</w:t>
      </w:r>
      <w:r>
        <w:rPr>
          <w:rFonts w:ascii="Calibri" w:hAnsi="Calibri" w:eastAsia="PingFang SC"/>
        </w:rPr>
        <w:t>不应随用户改变的事实、证据与共同质量；</w:t>
      </w:r>
    </w:p>
    <w:p>
      <w:pPr>
        <w:pStyle w:val="ListBullet"/>
      </w:pPr>
      <w:r>
        <w:rPr>
          <w:rFonts w:ascii="Calibri" w:hAnsi="Calibri" w:eastAsia="PingFang SC"/>
          <w:b/>
        </w:rPr>
        <w:t>must-not：</w:t>
      </w:r>
      <w:r>
        <w:rPr>
          <w:rFonts w:ascii="Calibri" w:hAnsi="Calibri" w:eastAsia="PingFang SC"/>
        </w:rPr>
        <w:t>不得假设、泄露、越权或迎合的内容；</w:t>
      </w:r>
    </w:p>
    <w:p>
      <w:pPr>
        <w:pStyle w:val="ListBullet"/>
      </w:pPr>
      <w:r>
        <w:rPr>
          <w:rFonts w:ascii="Calibri" w:hAnsi="Calibri" w:eastAsia="PingFang SC"/>
          <w:b/>
        </w:rPr>
        <w:t>clarify-if-unknown：</w:t>
      </w:r>
      <w:r>
        <w:rPr>
          <w:rFonts w:ascii="Calibri" w:hAnsi="Calibri" w:eastAsia="PingFang SC"/>
        </w:rPr>
        <w:t>关键信息未知时应提问、给条件分支或明确假设。</w:t>
      </w:r>
    </w:p>
    <w:p>
      <w:r>
        <w:rPr>
          <w:rFonts w:ascii="Calibri" w:hAnsi="Calibri" w:eastAsia="PingFang SC"/>
        </w:rPr>
        <w:t>TQ、FR、长度、关键证据覆盖、must-hold 与 owner-aware critical must-not 构成不可补偿的报告等价门。PF/CFA 检查 matched 报告是否具有真实用户特异性；</w:t>
      </w:r>
      <w:r>
        <w:rPr>
          <w:rFonts w:ascii="Courier New" w:hAnsi="Courier New" w:eastAsia="PingFang SC"/>
          <w:color w:val="6A3E00"/>
          <w:sz w:val="20"/>
        </w:rPr>
        <w:t>A_min=min(PF_a(Y_a),PF_b(Y_b))</w:t>
      </w:r>
      <w:r>
        <w:rPr>
          <w:rFonts w:ascii="Calibri" w:hAnsi="Calibri" w:eastAsia="PingFang SC"/>
        </w:rPr>
        <w:t xml:space="preserve"> 防止差值很大但 matched 本身仍差。</w:t>
      </w:r>
      <w:r>
        <w:rPr>
          <w:rFonts w:ascii="Courier New" w:hAnsi="Courier New" w:eastAsia="PingFang SC"/>
          <w:color w:val="6A3E00"/>
          <w:sz w:val="20"/>
        </w:rPr>
        <w:t>cos_spec</w:t>
      </w:r>
      <w:r>
        <w:rPr>
          <w:rFonts w:ascii="Calibri" w:hAnsi="Calibri" w:eastAsia="PingFang SC"/>
        </w:rPr>
        <w:t xml:space="preserve"> 只诊断双向是否平衡，必须与 </w:t>
      </w:r>
      <w:r>
        <w:rPr>
          <w:rFonts w:ascii="Courier New" w:hAnsi="Courier New" w:eastAsia="PingFang SC"/>
          <w:color w:val="6A3E00"/>
          <w:sz w:val="20"/>
        </w:rPr>
        <w:t>CFA_min</w:t>
      </w:r>
      <w:r>
        <w:rPr>
          <w:rFonts w:ascii="Calibri" w:hAnsi="Calibri" w:eastAsia="PingFang SC"/>
        </w:rPr>
        <w:t xml:space="preserve">、效应幅度和 </w:t>
      </w:r>
      <w:r>
        <w:rPr>
          <w:rFonts w:ascii="Courier New" w:hAnsi="Courier New" w:eastAsia="PingFang SC"/>
          <w:color w:val="6A3E00"/>
          <w:sz w:val="20"/>
        </w:rPr>
        <w:t>A_min</w:t>
      </w:r>
      <w:r>
        <w:rPr>
          <w:rFonts w:ascii="Calibri" w:hAnsi="Calibri" w:eastAsia="PingFang SC"/>
        </w:rPr>
        <w:t xml:space="preserve"> 同时看，不能代替它们。相对 task-only 的 </w:t>
      </w:r>
      <w:r>
        <w:rPr>
          <w:rFonts w:ascii="Courier New" w:hAnsi="Courier New" w:eastAsia="PingFang SC"/>
          <w:color w:val="6A3E00"/>
          <w:sz w:val="20"/>
        </w:rPr>
        <w:t>G_a/G_b</w:t>
      </w:r>
      <w:r>
        <w:rPr>
          <w:rFonts w:ascii="Calibri" w:hAnsi="Calibri" w:eastAsia="PingFang SC"/>
        </w:rPr>
        <w:t xml:space="preserve"> 先承担 non-inferiority；只有超过预注册 added-value margin 才称为真实增益。只有报告通过这些门才进入 Phase B；否则比较到的是总体质量，不是个性化处理。</w:t>
      </w:r>
    </w:p>
    <w:p>
      <w:pPr>
        <w:pStyle w:val="Heading2"/>
      </w:pPr>
      <w:r>
        <w:t>3.2 Phase B：Decision Trial</w:t>
      </w:r>
    </w:p>
    <w:p>
      <w:r>
        <w:rPr>
          <w:rFonts w:ascii="Calibri" w:hAnsi="Calibri" w:eastAsia="PingFang SC"/>
        </w:rPr>
        <w:t>每个参与者在反事实等价 task shell 上接受三种条件之一，跨任务用 Latin square/区组随机平衡：</w:t>
      </w:r>
    </w:p>
    <w:p>
      <w:pPr>
        <w:numPr>
          <w:ilvl w:val="0"/>
          <w:numId w:val="10"/>
        </w:numPr>
        <w:spacing w:after="80" w:line="290" w:lineRule="auto"/>
        <w:ind w:left="540" w:hanging="279"/>
      </w:pPr>
      <w:r>
        <w:rPr>
          <w:rFonts w:ascii="Calibri" w:hAnsi="Calibri" w:eastAsia="PingFang SC"/>
          <w:b/>
        </w:rPr>
        <w:t>task-only：</w:t>
      </w:r>
      <w:r>
        <w:rPr>
          <w:rFonts w:ascii="Calibri" w:hAnsi="Calibri" w:eastAsia="PingFang SC"/>
        </w:rPr>
        <w:t>不使用目标用户状态生成的合格报告；</w:t>
      </w:r>
    </w:p>
    <w:p>
      <w:pPr>
        <w:numPr>
          <w:ilvl w:val="0"/>
          <w:numId w:val="10"/>
        </w:numPr>
        <w:spacing w:after="80" w:line="290" w:lineRule="auto"/>
        <w:ind w:left="540" w:hanging="279"/>
      </w:pPr>
      <w:r>
        <w:rPr>
          <w:rFonts w:ascii="Calibri" w:hAnsi="Calibri" w:eastAsia="PingFang SC"/>
          <w:b/>
        </w:rPr>
        <w:t>matched：</w:t>
      </w:r>
      <w:r>
        <w:rPr>
          <w:rFonts w:ascii="Calibri" w:hAnsi="Calibri" w:eastAsia="PingFang SC"/>
        </w:rPr>
        <w:t>为该目标用户生成的合格报告；</w:t>
      </w:r>
    </w:p>
    <w:p>
      <w:pPr>
        <w:numPr>
          <w:ilvl w:val="0"/>
          <w:numId w:val="10"/>
        </w:numPr>
        <w:spacing w:after="80" w:line="290" w:lineRule="auto"/>
        <w:ind w:left="540" w:hanging="279"/>
      </w:pPr>
      <w:r>
        <w:rPr>
          <w:rFonts w:ascii="Calibri" w:hAnsi="Calibri" w:eastAsia="PingFang SC"/>
          <w:b/>
        </w:rPr>
        <w:t>swapped：</w:t>
      </w:r>
      <w:r>
        <w:rPr>
          <w:rFonts w:ascii="Calibri" w:hAnsi="Calibri" w:eastAsia="PingFang SC"/>
        </w:rPr>
        <w:t>为另一位合理用户生成、但对当前用户错配的合格报告。</w:t>
      </w:r>
    </w:p>
    <w:p>
      <w:r>
        <w:rPr>
          <w:rFonts w:ascii="Calibri" w:hAnsi="Calibri" w:eastAsia="PingFang SC"/>
        </w:rPr>
        <w:t>报告的 agent、条件和来源标签盲化。用户在看报告前提交基线决定与置信度，阅读后提交最终决定、置信度与必要理由。不能让同一人重复看到同一具体任务的三个答案；每臂使用等价而非相同的 task shell，以减少学习和 demand characteristics。</w:t>
      </w:r>
    </w:p>
    <w:p>
      <w:pPr>
        <w:pStyle w:val="Heading2"/>
      </w:pPr>
      <w:r>
        <w:t>3.3 Utility 与决策环境</w:t>
      </w:r>
    </w:p>
    <w:p>
      <w:r>
        <w:rPr>
          <w:rFonts w:ascii="Calibri" w:hAnsi="Calibri" w:eastAsia="PingFang SC"/>
        </w:rPr>
        <w:t xml:space="preserve">对用户 </w:t>
      </w:r>
      <w:r>
        <w:rPr>
          <w:rFonts w:ascii="Courier New" w:hAnsi="Courier New" w:eastAsia="PingFang SC"/>
          <w:color w:val="6A3E00"/>
          <w:sz w:val="20"/>
        </w:rPr>
        <w:t>u</w:t>
      </w:r>
      <w:r>
        <w:rPr>
          <w:rFonts w:ascii="Calibri" w:hAnsi="Calibri" w:eastAsia="PingFang SC"/>
        </w:rPr>
        <w:t xml:space="preserve">、family </w:t>
      </w:r>
      <w:r>
        <w:rPr>
          <w:rFonts w:ascii="Courier New" w:hAnsi="Courier New" w:eastAsia="PingFang SC"/>
          <w:color w:val="6A3E00"/>
          <w:sz w:val="20"/>
        </w:rPr>
        <w:t>f</w:t>
      </w:r>
      <w:r>
        <w:rPr>
          <w:rFonts w:ascii="Calibri" w:hAnsi="Calibri" w:eastAsia="PingFang SC"/>
        </w:rPr>
        <w:t xml:space="preserve">，在生成报告前冻结 </w:t>
      </w:r>
      <w:r>
        <w:rPr>
          <w:rFonts w:ascii="Courier New" w:hAnsi="Courier New" w:eastAsia="PingFang SC"/>
          <w:color w:val="6A3E00"/>
          <w:sz w:val="20"/>
        </w:rPr>
        <w:t>U_uf(d)</w:t>
      </w:r>
      <w:r>
        <w:rPr>
          <w:rFonts w:ascii="Calibri" w:hAnsi="Calibri" w:eastAsia="PingFang SC"/>
        </w:rPr>
        <w:t xml:space="preserve">。硬约束、可执行环境终态和领域 verifier 优先；用户确认的软权重只在可接受集合内比较方案。任务必须含 evidence-dependent trade-off，不能把答案直接写进 persona。令 </w:t>
      </w:r>
      <w:r>
        <w:rPr>
          <w:rFonts w:ascii="Courier New" w:hAnsi="Courier New" w:eastAsia="PingFang SC"/>
          <w:color w:val="6A3E00"/>
          <w:sz w:val="20"/>
        </w:rPr>
        <w:t>d*</w:t>
      </w:r>
      <w:r>
        <w:rPr>
          <w:rFonts w:ascii="Calibri" w:hAnsi="Calibri" w:eastAsia="PingFang SC"/>
        </w:rPr>
        <w:t xml:space="preserve"> 为证据环境中的最优可接受决策：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Regret_uf(d) = U_uf(d*) − U_uf(d)</w:t>
      </w:r>
      <w:r>
        <w:rPr>
          <w:rFonts w:ascii="Calibri" w:hAnsi="Calibri" w:eastAsia="PingFang SC"/>
        </w:rPr>
        <w:t>；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DDE = Regret_task-only − Regret_matched</w:t>
      </w:r>
      <w:r>
        <w:rPr>
          <w:rFonts w:ascii="Calibri" w:hAnsi="Calibri" w:eastAsia="PingFang SC"/>
        </w:rPr>
        <w:t>；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WrongUserHarm = Regret_swapped − Regret_task-only</w:t>
      </w:r>
      <w:r>
        <w:rPr>
          <w:rFonts w:ascii="Calibri" w:hAnsi="Calibri" w:eastAsia="PingFang SC"/>
        </w:rPr>
        <w:t>；</w:t>
      </w:r>
    </w:p>
    <w:p>
      <w:pPr>
        <w:pStyle w:val="ListBullet"/>
      </w:pPr>
      <w:r>
        <w:rPr>
          <w:rFonts w:ascii="Calibri" w:hAnsi="Calibri" w:eastAsia="PingFang SC"/>
        </w:rPr>
        <w:t>硬约束违规、confidence calibration/Brier 为关键次要终点；</w:t>
      </w:r>
    </w:p>
    <w:p>
      <w:pPr>
        <w:pStyle w:val="ListBullet"/>
      </w:pPr>
      <w:r>
        <w:rPr>
          <w:rFonts w:ascii="Calibri" w:hAnsi="Calibri" w:eastAsia="PingFang SC"/>
        </w:rPr>
        <w:t>决策时间、交互轮数和认知负担为效率终点。</w:t>
      </w:r>
    </w:p>
    <w:p>
      <w:r>
        <w:rPr>
          <w:rFonts w:ascii="Calibri" w:hAnsi="Calibri" w:eastAsia="PingFang SC"/>
        </w:rPr>
        <w:t>PF、CFA、TQ、FR 与 DDE 分栏报告，绝不平均成一个总分。</w:t>
      </w:r>
    </w:p>
    <w:p>
      <w:pPr>
        <w:pStyle w:val="Heading1"/>
      </w:pPr>
      <w:r>
        <w:t>4. 数据、系统与范围</w:t>
      </w:r>
    </w:p>
    <w:p>
      <w:pPr>
        <w:pStyle w:val="Heading2"/>
      </w:pPr>
      <w:r>
        <w:t>4.1 Task family</w:t>
      </w:r>
    </w:p>
    <w:p>
      <w:r>
        <w:rPr>
          <w:rFonts w:ascii="Calibri" w:hAnsi="Calibri" w:eastAsia="PingFang SC"/>
        </w:rPr>
        <w:t>主集只纳入真实决策：用户必须在多个可行方案中依据新证据作选择，且选择存在可验证后果。纯事实问答、只改变语气、没有行动取舍或 utility 只能事后解释的任务删除。</w:t>
      </w:r>
    </w:p>
    <w:p>
      <w:r>
        <w:rPr>
          <w:rFonts w:ascii="Calibri" w:hAnsi="Calibri" w:eastAsia="PingFang SC"/>
        </w:rPr>
        <w:t>先做 3 个 vertical slice，至少覆盖：个人/职业决策、组织采购/合规决策、技术/研究规划决策。每个 family 需要多个等价 task shell、真实用户锚定、冻结 utility、三臂参考报告和可执行/可审计 verifier。通过后扩到 8–12 个 family；不先承诺 24 个 taxonomy 单元。</w:t>
      </w:r>
    </w:p>
    <w:p>
      <w:pPr>
        <w:pStyle w:val="Heading2"/>
      </w:pPr>
      <w:r>
        <w:t>4.2 Agent 与环境</w:t>
      </w:r>
    </w:p>
    <w:p>
      <w:r>
        <w:rPr>
          <w:rFonts w:ascii="Calibri" w:hAnsi="Calibri" w:eastAsia="PingFang SC"/>
        </w:rPr>
        <w:t>首轮只比较 2–3 条报告生成管线：一个商业 Deep Research 产品、一个受控搜索/工具 harness、一个可复现开源 DRA。E1 frozen harness 是主要可比环境；live product 单独作外部效度。长程状态、动态更新、权限和证据污染只在少量适用 family 做单因素 stress，不与 DDE 竞争主贡献。</w:t>
      </w:r>
    </w:p>
    <w:p>
      <w:pPr>
        <w:pStyle w:val="Heading2"/>
      </w:pPr>
      <w:r>
        <w:t>4.3 真人样本与统计</w:t>
      </w:r>
    </w:p>
    <w:p>
      <w:r>
        <w:rPr>
          <w:rFonts w:ascii="Calibri" w:hAnsi="Calibri" w:eastAsia="PingFang SC"/>
        </w:rPr>
        <w:t>预计约 36–48 名目标用户，但最终样本量必须在 3-family pilot 后冻结。功效模拟输入包括 user/family cluster variance、within-user correlation、最小有意义 regret 改善、流失率和主要终点策略。确认性分析采用 design-based contrasts、user/family cluster bootstrap 与预注册混合效应模型；同一人的重复决策、同一 family 的多份报告和 rubric leaves 都不能当独立样本。</w:t>
      </w:r>
    </w:p>
    <w:p>
      <w:pPr>
        <w:pStyle w:val="Heading1"/>
      </w:pPr>
      <w:r>
        <w:t>5. Rubric、Judge 与数据质量</w:t>
      </w:r>
    </w:p>
    <w:p>
      <w:r>
        <w:rPr>
          <w:rFonts w:ascii="Calibri" w:hAnsi="Calibri" w:eastAsia="PingFang SC"/>
        </w:rPr>
        <w:t>Metadata-driven Rubric Compiler 继续组合 core、personalization、intent、deliverable、operator 和 risk module；固定的是 node/leaf schema、适用条件、锚点和 metric binding，而不是所有任务共用同一表。相对 PDR 的作用变为：证明报告处理在共同质量上配平、在用户条件上有区分力，并诊断哪种 artifact 改变带来或没有带来 DDE。</w:t>
      </w:r>
    </w:p>
    <w:p>
      <w:r>
        <w:rPr>
          <w:rFonts w:ascii="Calibri" w:hAnsi="Calibri" w:eastAsia="PingFang SC"/>
        </w:rPr>
        <w:t>Judge 采用确定性 verifier → 证据 verifier → 冻结 rubric judge → 目标用户/领域专家复核。JudgeBench 继续审计位置、长度、格式、persona 关键词、wrong-user、隐私和正确弃权。MyScholarQA 与 Lost in Simulation 都提示，模拟用户不能替代真人主终点。</w:t>
      </w:r>
      <w:hyperlink r:id="rId12">
        <w:r>
          <w:rPr>
            <w:rFonts w:ascii="Calibri" w:hAnsi="Calibri" w:eastAsia="PingFang SC"/>
            <w:color w:val="2E74B5"/>
            <w:u w:val="single"/>
          </w:rPr>
          <w:t>[16]</w:t>
        </w:r>
      </w:hyperlink>
      <w:hyperlink r:id="rId33">
        <w:r>
          <w:rPr>
            <w:rFonts w:ascii="Calibri" w:hAnsi="Calibri" w:eastAsia="PingFang SC"/>
            <w:color w:val="2E74B5"/>
            <w:u w:val="single"/>
          </w:rPr>
          <w:t>[33]</w:t>
        </w:r>
      </w:hyperlink>
    </w:p>
    <w:p>
      <w:pPr>
        <w:pStyle w:val="Heading1"/>
      </w:pPr>
      <w:r>
        <w:t>6. 预期贡献</w:t>
      </w:r>
    </w:p>
    <w:p>
      <w:pPr>
        <w:numPr>
          <w:ilvl w:val="0"/>
          <w:numId w:val="11"/>
        </w:numPr>
        <w:spacing w:after="80" w:line="290" w:lineRule="auto"/>
        <w:ind w:left="540" w:hanging="279"/>
      </w:pPr>
      <w:r>
        <w:rPr>
          <w:rFonts w:ascii="Calibri" w:hAnsi="Calibri" w:eastAsia="PingFang SC"/>
          <w:b/>
        </w:rPr>
        <w:t>Downstream Decision Effect protocol：</w:t>
      </w:r>
      <w:r>
        <w:rPr>
          <w:rFonts w:ascii="Calibri" w:hAnsi="Calibri" w:eastAsia="PingFang SC"/>
        </w:rPr>
        <w:t>把个性化研究交付物作为随机处理，以真实用户的可验证 decision regret 为终点；</w:t>
      </w:r>
    </w:p>
    <w:p>
      <w:pPr>
        <w:numPr>
          <w:ilvl w:val="0"/>
          <w:numId w:val="11"/>
        </w:numPr>
        <w:spacing w:after="80" w:line="290" w:lineRule="auto"/>
        <w:ind w:left="540" w:hanging="279"/>
      </w:pPr>
      <w:r>
        <w:rPr>
          <w:rFonts w:ascii="Calibri" w:hAnsi="Calibri" w:eastAsia="PingFang SC"/>
          <w:b/>
        </w:rPr>
        <w:t>wrong-user negative control：</w:t>
      </w:r>
      <w:r>
        <w:rPr>
          <w:rFonts w:ascii="Calibri" w:hAnsi="Calibri" w:eastAsia="PingFang SC"/>
        </w:rPr>
        <w:t>区分一般高质量帮助与用户特异性收益/伤害；</w:t>
      </w:r>
    </w:p>
    <w:p>
      <w:pPr>
        <w:numPr>
          <w:ilvl w:val="0"/>
          <w:numId w:val="11"/>
        </w:numPr>
        <w:spacing w:after="80" w:line="290" w:lineRule="auto"/>
        <w:ind w:left="540" w:hanging="279"/>
      </w:pPr>
      <w:r>
        <w:rPr>
          <w:rFonts w:ascii="Calibri" w:hAnsi="Calibri" w:eastAsia="PingFang SC"/>
          <w:b/>
        </w:rPr>
        <w:t>两阶段 benchmark：</w:t>
      </w:r>
      <w:r>
        <w:rPr>
          <w:rFonts w:ascii="Calibri" w:hAnsi="Calibri" w:eastAsia="PingFang SC"/>
        </w:rPr>
        <w:t>Phase A 质量与个性化 qualification，Phase B 真人 decision trial；</w:t>
      </w:r>
    </w:p>
    <w:p>
      <w:pPr>
        <w:numPr>
          <w:ilvl w:val="0"/>
          <w:numId w:val="11"/>
        </w:numPr>
        <w:spacing w:after="80" w:line="290" w:lineRule="auto"/>
        <w:ind w:left="540" w:hanging="279"/>
      </w:pPr>
      <w:r>
        <w:rPr>
          <w:rFonts w:ascii="Calibri" w:hAnsi="Calibri" w:eastAsia="PingFang SC"/>
          <w:b/>
        </w:rPr>
        <w:t>decision environment + utility verifier：</w:t>
      </w:r>
      <w:r>
        <w:rPr>
          <w:rFonts w:ascii="Calibri" w:hAnsi="Calibri" w:eastAsia="PingFang SC"/>
        </w:rPr>
        <w:t>让个性化效用不再等于主观满意度；</w:t>
      </w:r>
    </w:p>
    <w:p>
      <w:pPr>
        <w:numPr>
          <w:ilvl w:val="0"/>
          <w:numId w:val="11"/>
        </w:numPr>
        <w:spacing w:after="80" w:line="290" w:lineRule="auto"/>
        <w:ind w:left="540" w:hanging="279"/>
      </w:pPr>
      <w:r>
        <w:rPr>
          <w:rFonts w:ascii="Calibri" w:hAnsi="Calibri" w:eastAsia="PingFang SC"/>
          <w:b/>
        </w:rPr>
        <w:t>代理效度分析：</w:t>
      </w:r>
      <w:r>
        <w:rPr>
          <w:rFonts w:ascii="Calibri" w:hAnsi="Calibri" w:eastAsia="PingFang SC"/>
        </w:rPr>
        <w:t>直接检验 PF/CFA 何时能、何时不能预测真实决策收益。</w:t>
      </w:r>
    </w:p>
    <w:p>
      <w:r>
        <w:rPr>
          <w:rFonts w:ascii="Calibri" w:hAnsi="Calibri" w:eastAsia="PingFang SC"/>
        </w:rPr>
        <w:t>PDR-Bench 问“这份报告是否适合你”；DeepAlign-Bench 问“这份报告是否让你做出了更好的决定”。Atlas、Rubric Compiler、JudgeBench、长程和安全模块是支持这个问题的基础设施，不再与核心贡献并列。</w:t>
      </w:r>
    </w:p>
    <w:p>
      <w:pPr>
        <w:pStyle w:val="Heading1"/>
      </w:pPr>
      <w:r>
        <w:t>7. Go / No-Go 与八周计划</w:t>
      </w:r>
    </w:p>
    <w:p>
      <w:pPr>
        <w:pStyle w:val="Heading2"/>
      </w:pPr>
      <w:r>
        <w:t>7.1 Go / No-Go</w:t>
      </w:r>
    </w:p>
    <w:p>
      <w:pPr>
        <w:pStyle w:val="ListBullet"/>
      </w:pPr>
      <w:r>
        <w:rPr>
          <w:rFonts w:ascii="Calibri" w:hAnsi="Calibri" w:eastAsia="PingFang SC"/>
        </w:rPr>
        <w:t>至少 2/3 vertical slice 能在输出前冻结可审计 utility，并通过等价 task-shell 和盲化检查；</w:t>
      </w:r>
    </w:p>
    <w:p>
      <w:pPr>
        <w:pStyle w:val="ListBullet"/>
      </w:pPr>
      <w:r>
        <w:rPr>
          <w:rFonts w:ascii="Calibri" w:hAnsi="Calibri" w:eastAsia="PingFang SC"/>
        </w:rPr>
        <w:t>matched/task-only/swapped 报告通过共同质量配平，且 Phase A 双向差值超过预注册 SESOI、</w:t>
      </w:r>
      <w:r>
        <w:rPr>
          <w:rFonts w:ascii="Courier New" w:hAnsi="Courier New" w:eastAsia="PingFang SC"/>
          <w:color w:val="6A3E00"/>
          <w:sz w:val="20"/>
        </w:rPr>
        <w:t>A_min</w:t>
      </w:r>
      <w:r>
        <w:rPr>
          <w:rFonts w:ascii="Calibri" w:hAnsi="Calibri" w:eastAsia="PingFang SC"/>
        </w:rPr>
        <w:t xml:space="preserve"> 过绝对适配线、task-only non-inferiority 成立；</w:t>
      </w:r>
    </w:p>
    <w:p>
      <w:pPr>
        <w:pStyle w:val="ListBullet"/>
      </w:pPr>
      <w:r>
        <w:rPr>
          <w:rFonts w:ascii="Calibri" w:hAnsi="Calibri" w:eastAsia="PingFang SC"/>
        </w:rPr>
        <w:t>pilot 后完成功效模拟并冻结样本量、最小有意义效应和主要终点；</w:t>
      </w:r>
    </w:p>
    <w:p>
      <w:pPr>
        <w:pStyle w:val="ListBullet"/>
      </w:pPr>
      <w:r>
        <w:rPr>
          <w:rFonts w:ascii="Calibri" w:hAnsi="Calibri" w:eastAsia="PingFang SC"/>
        </w:rPr>
        <w:t>主实验 DDE 与 WrongUserHarm 达到预注册证据门，或产生明确的 CFA→DDE 代理失效结论；</w:t>
      </w:r>
    </w:p>
    <w:p>
      <w:pPr>
        <w:pStyle w:val="ListBullet"/>
      </w:pPr>
      <w:r>
        <w:rPr>
          <w:rFonts w:ascii="Calibri" w:hAnsi="Calibri" w:eastAsia="PingFang SC"/>
        </w:rPr>
        <w:t>伦理审查/豁免判断、同意、隐私和退出流程在招募前完成。</w:t>
      </w:r>
    </w:p>
    <w:p>
      <w:pPr>
        <w:pStyle w:val="Heading2"/>
      </w:pPr>
      <w:r>
        <w:t>7.2 八周计划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000"/>
        <w:gridCol w:w="4660"/>
      </w:tblGrid>
      <w:tr>
        <w:trPr>
          <w:tblHeader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color w:val="163A63"/>
                <w:sz w:val="16"/>
              </w:rPr>
              <w:t>周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color w:val="163A63"/>
                <w:sz w:val="16"/>
              </w:rPr>
              <w:t>主要产出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color w:val="163A63"/>
                <w:sz w:val="16"/>
              </w:rPr>
              <w:t>失败时收缩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PingFang SC"/>
                <w:sz w:val="16"/>
              </w:rPr>
              <w:t>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PingFang SC"/>
                <w:sz w:val="16"/>
              </w:rPr>
              <w:t>3 个 decision vertical slice、utility schema、task-shell 规则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PingFang SC"/>
                <w:sz w:val="16"/>
              </w:rPr>
              <w:t>删除不可验证或答案被 persona 泄漏的任务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PingFang SC"/>
                <w:sz w:val="16"/>
              </w:rPr>
              <w:t>2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PingFang SC"/>
                <w:sz w:val="16"/>
              </w:rPr>
              <w:t>三臂参考报告、Phase A 配平、盲化与 consent 流程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PingFang SC"/>
                <w:sz w:val="16"/>
              </w:rPr>
              <w:t>减少交付类型和 agent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PingFang SC"/>
                <w:sz w:val="16"/>
              </w:rPr>
              <w:t>3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PingFang SC"/>
                <w:sz w:val="16"/>
              </w:rPr>
              <w:t>小规模真人 pilot；方差、顺序效应、流失估计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PingFang SC"/>
                <w:sz w:val="16"/>
              </w:rPr>
              <w:t>修改设计，不扩 family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PingFang SC"/>
                <w:sz w:val="16"/>
              </w:rPr>
              <w:t>4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PingFang SC"/>
                <w:sz w:val="16"/>
              </w:rPr>
              <w:t>功效模拟；冻结 8–12 family、样本与预注册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PingFang SC"/>
                <w:sz w:val="16"/>
              </w:rPr>
              <w:t>若功效不足，减少系统/次要终点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PingFang SC"/>
                <w:sz w:val="16"/>
              </w:rPr>
              <w:t>5–6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PingFang SC"/>
                <w:sz w:val="16"/>
              </w:rPr>
              <w:t>Phase A agent 运行与 Phase B 真人主实验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PingFang SC"/>
                <w:sz w:val="16"/>
              </w:rPr>
              <w:t>暂停 stress layer，保护主终点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PingFang SC"/>
                <w:sz w:val="16"/>
              </w:rPr>
              <w:t>7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PingFang SC"/>
                <w:sz w:val="16"/>
              </w:rPr>
              <w:t>DDE、错配伤害、代理效度与鲁棒性分析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PingFang SC"/>
                <w:sz w:val="16"/>
              </w:rPr>
              <w:t>删除未支持的机制支线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PingFang SC"/>
                <w:sz w:val="16"/>
              </w:rPr>
              <w:t>8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PingFang SC"/>
                <w:sz w:val="16"/>
              </w:rPr>
              <w:t>结果冻结、复现、全文与匿名材料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PingFang SC"/>
                <w:sz w:val="16"/>
              </w:rPr>
              <w:t>不再新增 taxonomy 或 agent</w:t>
            </w:r>
          </w:p>
        </w:tc>
      </w:tr>
    </w:tbl>
    <w:p>
      <w:pPr>
        <w:spacing w:after="40"/>
      </w:pPr>
    </w:p>
    <w:p>
      <w:pPr>
        <w:pStyle w:val="Heading1"/>
      </w:pPr>
      <w:r>
        <w:t>8. 主要评审风险</w:t>
      </w:r>
    </w:p>
    <w:p>
      <w:pPr>
        <w:pStyle w:val="ListBullet"/>
      </w:pPr>
      <w:r>
        <w:rPr>
          <w:rFonts w:ascii="Calibri" w:hAnsi="Calibri" w:eastAsia="PingFang SC"/>
          <w:b/>
        </w:rPr>
        <w:t>“只是满意度用户研究。”</w:t>
      </w:r>
      <w:r>
        <w:rPr>
          <w:rFonts w:ascii="Calibri" w:hAnsi="Calibri" w:eastAsia="PingFang SC"/>
        </w:rPr>
        <w:t xml:space="preserve"> 主终点是预冻结 regret、硬约束和校准，不是主观 fit。</w:t>
      </w:r>
    </w:p>
    <w:p>
      <w:pPr>
        <w:pStyle w:val="ListBullet"/>
      </w:pPr>
      <w:r>
        <w:rPr>
          <w:rFonts w:ascii="Calibri" w:hAnsi="Calibri" w:eastAsia="PingFang SC"/>
          <w:b/>
        </w:rPr>
        <w:t>“matched 报告总体更好。”</w:t>
      </w:r>
      <w:r>
        <w:rPr>
          <w:rFonts w:ascii="Calibri" w:hAnsi="Calibri" w:eastAsia="PingFang SC"/>
        </w:rPr>
        <w:t xml:space="preserve"> Phase A 强制 TQ/FR/长度/证据/边界配平；task-only 是质量基线，swapped 是用户特异性负对照。</w:t>
      </w:r>
    </w:p>
    <w:p>
      <w:pPr>
        <w:pStyle w:val="ListBullet"/>
      </w:pPr>
      <w:r>
        <w:rPr>
          <w:rFonts w:ascii="Calibri" w:hAnsi="Calibri" w:eastAsia="PingFang SC"/>
          <w:b/>
        </w:rPr>
        <w:t>“答案被写进 persona。”</w:t>
      </w:r>
      <w:r>
        <w:rPr>
          <w:rFonts w:ascii="Calibri" w:hAnsi="Calibri" w:eastAsia="PingFang SC"/>
        </w:rPr>
        <w:t xml:space="preserve"> 用户只冻结偏好和约束，最优行动仍必须依赖新证据与 trade-off。</w:t>
      </w:r>
    </w:p>
    <w:p>
      <w:pPr>
        <w:pStyle w:val="ListBullet"/>
      </w:pPr>
      <w:r>
        <w:rPr>
          <w:rFonts w:ascii="Calibri" w:hAnsi="Calibri" w:eastAsia="PingFang SC"/>
          <w:b/>
        </w:rPr>
        <w:t>“重复任务有学习效应。”</w:t>
      </w:r>
      <w:r>
        <w:rPr>
          <w:rFonts w:ascii="Calibri" w:hAnsi="Calibri" w:eastAsia="PingFang SC"/>
        </w:rPr>
        <w:t xml:space="preserve"> 使用等价 task shell、顺序平衡、盲标签和不同具体答案。</w:t>
      </w:r>
    </w:p>
    <w:p>
      <w:pPr>
        <w:pStyle w:val="ListBullet"/>
      </w:pPr>
      <w:r>
        <w:rPr>
          <w:rFonts w:ascii="Calibri" w:hAnsi="Calibri" w:eastAsia="PingFang SC"/>
          <w:b/>
        </w:rPr>
        <w:t>“样本太小。”</w:t>
      </w:r>
      <w:r>
        <w:rPr>
          <w:rFonts w:ascii="Calibri" w:hAnsi="Calibri" w:eastAsia="PingFang SC"/>
        </w:rPr>
        <w:t xml:space="preserve"> pilot 后功效模拟；优先减少 agent 和支线，不用 LLM judge 冒充真人功效。</w:t>
      </w:r>
    </w:p>
    <w:p>
      <w:pPr>
        <w:pStyle w:val="ListBullet"/>
      </w:pPr>
      <w:r>
        <w:rPr>
          <w:rFonts w:ascii="Calibri" w:hAnsi="Calibri" w:eastAsia="PingFang SC"/>
          <w:b/>
        </w:rPr>
        <w:t>“更像 CHI 而非 agent benchmark。”</w:t>
      </w:r>
      <w:r>
        <w:rPr>
          <w:rFonts w:ascii="Calibri" w:hAnsi="Calibri" w:eastAsia="PingFang SC"/>
        </w:rPr>
        <w:t xml:space="preserve"> 发布可复现的报告生成条件、decision environment、utility verifier、Phase A qualification 和 agent-level DDE 榜。</w:t>
      </w:r>
    </w:p>
    <w:p>
      <w:pPr>
        <w:sectPr>
          <w:headerReference w:type="default" r:id="rId9"/>
          <w:footerReference w:type="default" r:id="rId10"/>
          <w:pgSz w:w="12240" w:h="15840"/>
          <w:pgMar w:top="1080" w:right="1080" w:bottom="1080" w:left="1080" w:header="708" w:footer="708" w:gutter="0"/>
          <w:cols w:space="720"/>
          <w:docGrid w:linePitch="360"/>
        </w:sectPr>
      </w:pPr>
    </w:p>
    <w:p>
      <w:pPr>
        <w:pStyle w:val="Heading1"/>
      </w:pPr>
      <w:r>
        <w:t>参考文献</w:t>
      </w:r>
    </w:p>
    <w:p>
      <w:pPr>
        <w:spacing w:after="0" w:line="228" w:lineRule="auto"/>
        <w:ind w:left="360" w:hanging="360"/>
      </w:pPr>
      <w:r>
        <w:rPr>
          <w:rFonts w:ascii="Calibri" w:hAnsi="Calibri" w:eastAsia="PingFang SC"/>
          <w:sz w:val="15"/>
        </w:rPr>
        <w:t xml:space="preserve">[1] </w:t>
      </w:r>
      <w:hyperlink r:id="rId34">
        <w:r>
          <w:rPr>
            <w:rFonts w:ascii="Calibri" w:hAnsi="Calibri" w:eastAsia="PingFang SC"/>
            <w:color w:val="2E74B5"/>
            <w:u w:val="single"/>
            <w:sz w:val="15"/>
            <w:szCs w:val="15"/>
          </w:rPr>
          <w:t>OpenCompass</w:t>
        </w:r>
      </w:hyperlink>
      <w:r>
        <w:rPr>
          <w:rFonts w:ascii="Calibri" w:hAnsi="Calibri" w:eastAsia="PingFang SC"/>
          <w:sz w:val="15"/>
        </w:rPr>
        <w:t>. 2026.</w:t>
      </w:r>
    </w:p>
    <w:p>
      <w:pPr>
        <w:spacing w:after="0" w:line="228" w:lineRule="auto"/>
        <w:ind w:left="360" w:hanging="360"/>
      </w:pPr>
      <w:r>
        <w:rPr>
          <w:rFonts w:ascii="Calibri" w:hAnsi="Calibri" w:eastAsia="PingFang SC"/>
          <w:sz w:val="15"/>
        </w:rPr>
        <w:t xml:space="preserve">[2] </w:t>
      </w:r>
      <w:hyperlink r:id="rId35">
        <w:r>
          <w:rPr>
            <w:rFonts w:ascii="Calibri" w:hAnsi="Calibri" w:eastAsia="PingFang SC"/>
            <w:color w:val="2E74B5"/>
            <w:u w:val="single"/>
            <w:sz w:val="15"/>
            <w:szCs w:val="15"/>
          </w:rPr>
          <w:t>EvalScope documentation</w:t>
        </w:r>
      </w:hyperlink>
      <w:r>
        <w:rPr>
          <w:rFonts w:ascii="Calibri" w:hAnsi="Calibri" w:eastAsia="PingFang SC"/>
          <w:sz w:val="15"/>
        </w:rPr>
        <w:t>. 2026.</w:t>
      </w:r>
    </w:p>
    <w:p>
      <w:pPr>
        <w:spacing w:after="0" w:line="228" w:lineRule="auto"/>
        <w:ind w:left="360" w:hanging="360"/>
      </w:pPr>
      <w:r>
        <w:rPr>
          <w:rFonts w:ascii="Calibri" w:hAnsi="Calibri" w:eastAsia="PingFang SC"/>
          <w:sz w:val="15"/>
        </w:rPr>
        <w:t xml:space="preserve">[3] </w:t>
      </w:r>
      <w:hyperlink r:id="rId11">
        <w:r>
          <w:rPr>
            <w:rFonts w:ascii="Calibri" w:hAnsi="Calibri" w:eastAsia="PingFang SC"/>
            <w:color w:val="2E74B5"/>
            <w:u w:val="single"/>
            <w:sz w:val="15"/>
            <w:szCs w:val="15"/>
          </w:rPr>
          <w:t>Towards Personalized Deep Research: Benchmarks and Evaluations</w:t>
        </w:r>
      </w:hyperlink>
      <w:r>
        <w:rPr>
          <w:rFonts w:ascii="Calibri" w:hAnsi="Calibri" w:eastAsia="PingFang SC"/>
          <w:sz w:val="15"/>
        </w:rPr>
        <w:t>. ICLR 2026.</w:t>
      </w:r>
    </w:p>
    <w:p>
      <w:pPr>
        <w:spacing w:after="0" w:line="228" w:lineRule="auto"/>
        <w:ind w:left="360" w:hanging="360"/>
      </w:pPr>
      <w:r>
        <w:rPr>
          <w:rFonts w:ascii="Calibri" w:hAnsi="Calibri" w:eastAsia="PingFang SC"/>
          <w:sz w:val="15"/>
        </w:rPr>
        <w:t xml:space="preserve">[4] </w:t>
      </w:r>
      <w:hyperlink r:id="rId36">
        <w:r>
          <w:rPr>
            <w:rFonts w:ascii="Calibri" w:hAnsi="Calibri" w:eastAsia="PingFang SC"/>
            <w:color w:val="2E74B5"/>
            <w:u w:val="single"/>
            <w:sz w:val="15"/>
            <w:szCs w:val="15"/>
          </w:rPr>
          <w:t>LiveResearchBench</w:t>
        </w:r>
      </w:hyperlink>
      <w:r>
        <w:rPr>
          <w:rFonts w:ascii="Calibri" w:hAnsi="Calibri" w:eastAsia="PingFang SC"/>
          <w:sz w:val="15"/>
        </w:rPr>
        <w:t>. 2025.</w:t>
      </w:r>
    </w:p>
    <w:p>
      <w:pPr>
        <w:spacing w:after="0" w:line="228" w:lineRule="auto"/>
        <w:ind w:left="360" w:hanging="360"/>
      </w:pPr>
      <w:r>
        <w:rPr>
          <w:rFonts w:ascii="Calibri" w:hAnsi="Calibri" w:eastAsia="PingFang SC"/>
          <w:sz w:val="15"/>
        </w:rPr>
        <w:t xml:space="preserve">[5] </w:t>
      </w:r>
      <w:hyperlink r:id="rId37">
        <w:r>
          <w:rPr>
            <w:rFonts w:ascii="Calibri" w:hAnsi="Calibri" w:eastAsia="PingFang SC"/>
            <w:color w:val="2E74B5"/>
            <w:u w:val="single"/>
            <w:sz w:val="15"/>
            <w:szCs w:val="15"/>
          </w:rPr>
          <w:t>PaperBench</w:t>
        </w:r>
      </w:hyperlink>
      <w:r>
        <w:rPr>
          <w:rFonts w:ascii="Calibri" w:hAnsi="Calibri" w:eastAsia="PingFang SC"/>
          <w:sz w:val="15"/>
        </w:rPr>
        <w:t>. 2025.</w:t>
      </w:r>
    </w:p>
    <w:p>
      <w:pPr>
        <w:spacing w:after="0" w:line="228" w:lineRule="auto"/>
        <w:ind w:left="360" w:hanging="360"/>
      </w:pPr>
      <w:r>
        <w:rPr>
          <w:rFonts w:ascii="Calibri" w:hAnsi="Calibri" w:eastAsia="PingFang SC"/>
          <w:sz w:val="15"/>
        </w:rPr>
        <w:t xml:space="preserve">[6] </w:t>
      </w:r>
      <w:hyperlink r:id="rId38">
        <w:r>
          <w:rPr>
            <w:rFonts w:ascii="Calibri" w:hAnsi="Calibri" w:eastAsia="PingFang SC"/>
            <w:color w:val="2E74B5"/>
            <w:u w:val="single"/>
            <w:sz w:val="15"/>
            <w:szCs w:val="15"/>
          </w:rPr>
          <w:t>Setoka</w:t>
        </w:r>
      </w:hyperlink>
      <w:r>
        <w:rPr>
          <w:rFonts w:ascii="Calibri" w:hAnsi="Calibri" w:eastAsia="PingFang SC"/>
          <w:sz w:val="15"/>
        </w:rPr>
        <w:t>. 2026.</w:t>
      </w:r>
    </w:p>
    <w:p>
      <w:pPr>
        <w:spacing w:after="0" w:line="228" w:lineRule="auto"/>
        <w:ind w:left="360" w:hanging="360"/>
      </w:pPr>
      <w:r>
        <w:rPr>
          <w:rFonts w:ascii="Calibri" w:hAnsi="Calibri" w:eastAsia="PingFang SC"/>
          <w:sz w:val="15"/>
        </w:rPr>
        <w:t xml:space="preserve">[7] </w:t>
      </w:r>
      <w:hyperlink r:id="rId39">
        <w:r>
          <w:rPr>
            <w:rFonts w:ascii="Calibri" w:hAnsi="Calibri" w:eastAsia="PingFang SC"/>
            <w:color w:val="2E74B5"/>
            <w:u w:val="single"/>
            <w:sz w:val="15"/>
            <w:szCs w:val="15"/>
          </w:rPr>
          <w:t>PersonaTrail</w:t>
        </w:r>
      </w:hyperlink>
      <w:r>
        <w:rPr>
          <w:rFonts w:ascii="Calibri" w:hAnsi="Calibri" w:eastAsia="PingFang SC"/>
          <w:sz w:val="15"/>
        </w:rPr>
        <w:t>. 2026.</w:t>
      </w:r>
    </w:p>
    <w:p>
      <w:pPr>
        <w:spacing w:after="0" w:line="228" w:lineRule="auto"/>
        <w:ind w:left="360" w:hanging="360"/>
      </w:pPr>
      <w:r>
        <w:rPr>
          <w:rFonts w:ascii="Calibri" w:hAnsi="Calibri" w:eastAsia="PingFang SC"/>
          <w:sz w:val="15"/>
        </w:rPr>
        <w:t xml:space="preserve">[8] </w:t>
      </w:r>
      <w:hyperlink r:id="rId32">
        <w:r>
          <w:rPr>
            <w:rFonts w:ascii="Calibri" w:hAnsi="Calibri" w:eastAsia="PingFang SC"/>
            <w:color w:val="2E74B5"/>
            <w:u w:val="single"/>
            <w:sz w:val="15"/>
            <w:szCs w:val="15"/>
          </w:rPr>
          <w:t>TARS</w:t>
        </w:r>
      </w:hyperlink>
      <w:r>
        <w:rPr>
          <w:rFonts w:ascii="Calibri" w:hAnsi="Calibri" w:eastAsia="PingFang SC"/>
          <w:sz w:val="15"/>
        </w:rPr>
        <w:t>. 2026.</w:t>
      </w:r>
    </w:p>
    <w:p>
      <w:pPr>
        <w:spacing w:after="0" w:line="228" w:lineRule="auto"/>
        <w:ind w:left="360" w:hanging="360"/>
      </w:pPr>
      <w:r>
        <w:rPr>
          <w:rFonts w:ascii="Calibri" w:hAnsi="Calibri" w:eastAsia="PingFang SC"/>
          <w:sz w:val="15"/>
        </w:rPr>
        <w:t xml:space="preserve">[9] </w:t>
      </w:r>
      <w:hyperlink r:id="rId40">
        <w:r>
          <w:rPr>
            <w:rFonts w:ascii="Calibri" w:hAnsi="Calibri" w:eastAsia="PingFang SC"/>
            <w:color w:val="2E74B5"/>
            <w:u w:val="single"/>
            <w:sz w:val="15"/>
            <w:szCs w:val="15"/>
          </w:rPr>
          <w:t>Persistent Sycophancy in Stateful Personal Agents</w:t>
        </w:r>
      </w:hyperlink>
      <w:r>
        <w:rPr>
          <w:rFonts w:ascii="Calibri" w:hAnsi="Calibri" w:eastAsia="PingFang SC"/>
          <w:sz w:val="15"/>
        </w:rPr>
        <w:t>. 2026.</w:t>
      </w:r>
    </w:p>
    <w:p>
      <w:pPr>
        <w:spacing w:after="0" w:line="228" w:lineRule="auto"/>
        <w:ind w:left="360" w:hanging="360"/>
      </w:pPr>
      <w:r>
        <w:rPr>
          <w:rFonts w:ascii="Calibri" w:hAnsi="Calibri" w:eastAsia="PingFang SC"/>
          <w:sz w:val="15"/>
        </w:rPr>
        <w:t xml:space="preserve">[10] </w:t>
      </w:r>
      <w:hyperlink r:id="rId41">
        <w:r>
          <w:rPr>
            <w:rFonts w:ascii="Calibri" w:hAnsi="Calibri" w:eastAsia="PingFang SC"/>
            <w:color w:val="2E74B5"/>
            <w:u w:val="single"/>
            <w:sz w:val="15"/>
            <w:szCs w:val="15"/>
          </w:rPr>
          <w:t>APeB</w:t>
        </w:r>
      </w:hyperlink>
      <w:r>
        <w:rPr>
          <w:rFonts w:ascii="Calibri" w:hAnsi="Calibri" w:eastAsia="PingFang SC"/>
          <w:sz w:val="15"/>
        </w:rPr>
        <w:t>. 2026.</w:t>
      </w:r>
    </w:p>
    <w:p>
      <w:pPr>
        <w:spacing w:after="0" w:line="228" w:lineRule="auto"/>
        <w:ind w:left="360" w:hanging="360"/>
      </w:pPr>
      <w:r>
        <w:rPr>
          <w:rFonts w:ascii="Calibri" w:hAnsi="Calibri" w:eastAsia="PingFang SC"/>
          <w:sz w:val="15"/>
        </w:rPr>
        <w:t xml:space="preserve">[11] </w:t>
      </w:r>
      <w:hyperlink r:id="rId13">
        <w:r>
          <w:rPr>
            <w:rFonts w:ascii="Calibri" w:hAnsi="Calibri" w:eastAsia="PingFang SC"/>
            <w:color w:val="2E74B5"/>
            <w:u w:val="single"/>
            <w:sz w:val="15"/>
            <w:szCs w:val="15"/>
          </w:rPr>
          <w:t>LaMP</w:t>
        </w:r>
      </w:hyperlink>
      <w:r>
        <w:rPr>
          <w:rFonts w:ascii="Calibri" w:hAnsi="Calibri" w:eastAsia="PingFang SC"/>
          <w:sz w:val="15"/>
        </w:rPr>
        <w:t>. 2024.</w:t>
      </w:r>
    </w:p>
    <w:p>
      <w:pPr>
        <w:spacing w:after="0" w:line="228" w:lineRule="auto"/>
        <w:ind w:left="360" w:hanging="360"/>
      </w:pPr>
      <w:r>
        <w:rPr>
          <w:rFonts w:ascii="Calibri" w:hAnsi="Calibri" w:eastAsia="PingFang SC"/>
          <w:sz w:val="15"/>
        </w:rPr>
        <w:t xml:space="preserve">[12] </w:t>
      </w:r>
      <w:hyperlink r:id="rId14">
        <w:r>
          <w:rPr>
            <w:rFonts w:ascii="Calibri" w:hAnsi="Calibri" w:eastAsia="PingFang SC"/>
            <w:color w:val="2E74B5"/>
            <w:u w:val="single"/>
            <w:sz w:val="15"/>
            <w:szCs w:val="15"/>
          </w:rPr>
          <w:t>PersonaLens</w:t>
        </w:r>
      </w:hyperlink>
      <w:r>
        <w:rPr>
          <w:rFonts w:ascii="Calibri" w:hAnsi="Calibri" w:eastAsia="PingFang SC"/>
          <w:sz w:val="15"/>
        </w:rPr>
        <w:t>. 2025.</w:t>
      </w:r>
    </w:p>
    <w:p>
      <w:pPr>
        <w:spacing w:after="0" w:line="228" w:lineRule="auto"/>
        <w:ind w:left="360" w:hanging="360"/>
      </w:pPr>
      <w:r>
        <w:rPr>
          <w:rFonts w:ascii="Calibri" w:hAnsi="Calibri" w:eastAsia="PingFang SC"/>
          <w:sz w:val="15"/>
        </w:rPr>
        <w:t xml:space="preserve">[13] </w:t>
      </w:r>
      <w:hyperlink r:id="rId15">
        <w:r>
          <w:rPr>
            <w:rFonts w:ascii="Calibri" w:hAnsi="Calibri" w:eastAsia="PingFang SC"/>
            <w:color w:val="2E74B5"/>
            <w:u w:val="single"/>
            <w:sz w:val="15"/>
            <w:szCs w:val="15"/>
          </w:rPr>
          <w:t>ETAPP</w:t>
        </w:r>
      </w:hyperlink>
      <w:r>
        <w:rPr>
          <w:rFonts w:ascii="Calibri" w:hAnsi="Calibri" w:eastAsia="PingFang SC"/>
          <w:sz w:val="15"/>
        </w:rPr>
        <w:t>. 2025.</w:t>
      </w:r>
    </w:p>
    <w:p>
      <w:pPr>
        <w:spacing w:after="0" w:line="228" w:lineRule="auto"/>
        <w:ind w:left="360" w:hanging="360"/>
      </w:pPr>
      <w:r>
        <w:rPr>
          <w:rFonts w:ascii="Calibri" w:hAnsi="Calibri" w:eastAsia="PingFang SC"/>
          <w:sz w:val="15"/>
        </w:rPr>
        <w:t xml:space="preserve">[14] </w:t>
      </w:r>
      <w:hyperlink r:id="rId16">
        <w:r>
          <w:rPr>
            <w:rFonts w:ascii="Calibri" w:hAnsi="Calibri" w:eastAsia="PingFang SC"/>
            <w:color w:val="2E74B5"/>
            <w:u w:val="single"/>
            <w:sz w:val="15"/>
            <w:szCs w:val="15"/>
          </w:rPr>
          <w:t>PersonaMem</w:t>
        </w:r>
      </w:hyperlink>
      <w:r>
        <w:rPr>
          <w:rFonts w:ascii="Calibri" w:hAnsi="Calibri" w:eastAsia="PingFang SC"/>
          <w:sz w:val="15"/>
        </w:rPr>
        <w:t>. 2025.</w:t>
      </w:r>
    </w:p>
    <w:p>
      <w:pPr>
        <w:spacing w:after="0" w:line="228" w:lineRule="auto"/>
        <w:ind w:left="360" w:hanging="360"/>
      </w:pPr>
      <w:r>
        <w:rPr>
          <w:rFonts w:ascii="Calibri" w:hAnsi="Calibri" w:eastAsia="PingFang SC"/>
          <w:sz w:val="15"/>
        </w:rPr>
        <w:t xml:space="preserve">[15] </w:t>
      </w:r>
      <w:hyperlink r:id="rId19">
        <w:r>
          <w:rPr>
            <w:rFonts w:ascii="Calibri" w:hAnsi="Calibri" w:eastAsia="PingFang SC"/>
            <w:color w:val="2E74B5"/>
            <w:u w:val="single"/>
            <w:sz w:val="15"/>
            <w:szCs w:val="15"/>
          </w:rPr>
          <w:t>Personalized Deep Research</w:t>
        </w:r>
      </w:hyperlink>
      <w:r>
        <w:rPr>
          <w:rFonts w:ascii="Calibri" w:hAnsi="Calibri" w:eastAsia="PingFang SC"/>
          <w:sz w:val="15"/>
        </w:rPr>
        <w:t>. 2026.</w:t>
      </w:r>
    </w:p>
    <w:p>
      <w:pPr>
        <w:spacing w:after="0" w:line="228" w:lineRule="auto"/>
        <w:ind w:left="360" w:hanging="360"/>
      </w:pPr>
      <w:r>
        <w:rPr>
          <w:rFonts w:ascii="Calibri" w:hAnsi="Calibri" w:eastAsia="PingFang SC"/>
          <w:sz w:val="15"/>
        </w:rPr>
        <w:t xml:space="preserve">[16] </w:t>
      </w:r>
      <w:hyperlink r:id="rId12">
        <w:r>
          <w:rPr>
            <w:rFonts w:ascii="Calibri" w:hAnsi="Calibri" w:eastAsia="PingFang SC"/>
            <w:color w:val="2E74B5"/>
            <w:u w:val="single"/>
            <w:sz w:val="15"/>
            <w:szCs w:val="15"/>
          </w:rPr>
          <w:t>Language Models Don't Know What You Want / MyScholarQA</w:t>
        </w:r>
      </w:hyperlink>
      <w:r>
        <w:rPr>
          <w:rFonts w:ascii="Calibri" w:hAnsi="Calibri" w:eastAsia="PingFang SC"/>
          <w:sz w:val="15"/>
        </w:rPr>
        <w:t>. 2026.</w:t>
      </w:r>
    </w:p>
    <w:p>
      <w:pPr>
        <w:spacing w:after="0" w:line="228" w:lineRule="auto"/>
        <w:ind w:left="360" w:hanging="360"/>
      </w:pPr>
      <w:r>
        <w:rPr>
          <w:rFonts w:ascii="Calibri" w:hAnsi="Calibri" w:eastAsia="PingFang SC"/>
          <w:sz w:val="15"/>
        </w:rPr>
        <w:t xml:space="preserve">[17] </w:t>
      </w:r>
      <w:hyperlink r:id="rId42">
        <w:r>
          <w:rPr>
            <w:rFonts w:ascii="Calibri" w:hAnsi="Calibri" w:eastAsia="PingFang SC"/>
            <w:color w:val="2E74B5"/>
            <w:u w:val="single"/>
            <w:sz w:val="15"/>
            <w:szCs w:val="15"/>
          </w:rPr>
          <w:t>Learning Personalized Agents from Human Feedback</w:t>
        </w:r>
      </w:hyperlink>
      <w:r>
        <w:rPr>
          <w:rFonts w:ascii="Calibri" w:hAnsi="Calibri" w:eastAsia="PingFang SC"/>
          <w:sz w:val="15"/>
        </w:rPr>
        <w:t>. 2026.</w:t>
      </w:r>
    </w:p>
    <w:p>
      <w:pPr>
        <w:spacing w:after="0" w:line="228" w:lineRule="auto"/>
        <w:ind w:left="360" w:hanging="360"/>
      </w:pPr>
      <w:r>
        <w:rPr>
          <w:rFonts w:ascii="Calibri" w:hAnsi="Calibri" w:eastAsia="PingFang SC"/>
          <w:sz w:val="15"/>
        </w:rPr>
        <w:t xml:space="preserve">[18] </w:t>
      </w:r>
      <w:hyperlink r:id="rId17">
        <w:r>
          <w:rPr>
            <w:rFonts w:ascii="Calibri" w:hAnsi="Calibri" w:eastAsia="PingFang SC"/>
            <w:color w:val="2E74B5"/>
            <w:u w:val="single"/>
            <w:sz w:val="15"/>
            <w:szCs w:val="15"/>
          </w:rPr>
          <w:t>Mem2ActBench</w:t>
        </w:r>
      </w:hyperlink>
      <w:r>
        <w:rPr>
          <w:rFonts w:ascii="Calibri" w:hAnsi="Calibri" w:eastAsia="PingFang SC"/>
          <w:sz w:val="15"/>
        </w:rPr>
        <w:t>. 2026.</w:t>
      </w:r>
    </w:p>
    <w:p>
      <w:pPr>
        <w:spacing w:after="0" w:line="228" w:lineRule="auto"/>
        <w:ind w:left="360" w:hanging="360"/>
      </w:pPr>
      <w:r>
        <w:rPr>
          <w:rFonts w:ascii="Calibri" w:hAnsi="Calibri" w:eastAsia="PingFang SC"/>
          <w:sz w:val="15"/>
        </w:rPr>
        <w:t xml:space="preserve">[19] </w:t>
      </w:r>
      <w:hyperlink r:id="rId43">
        <w:r>
          <w:rPr>
            <w:rFonts w:ascii="Calibri" w:hAnsi="Calibri" w:eastAsia="PingFang SC"/>
            <w:color w:val="2E74B5"/>
            <w:u w:val="single"/>
            <w:sz w:val="15"/>
            <w:szCs w:val="15"/>
          </w:rPr>
          <w:t>PS-Bench</w:t>
        </w:r>
      </w:hyperlink>
      <w:r>
        <w:rPr>
          <w:rFonts w:ascii="Calibri" w:hAnsi="Calibri" w:eastAsia="PingFang SC"/>
          <w:sz w:val="15"/>
        </w:rPr>
        <w:t>. 2026.</w:t>
      </w:r>
    </w:p>
    <w:p>
      <w:pPr>
        <w:spacing w:after="0" w:line="228" w:lineRule="auto"/>
        <w:ind w:left="360" w:hanging="360"/>
      </w:pPr>
      <w:r>
        <w:rPr>
          <w:rFonts w:ascii="Calibri" w:hAnsi="Calibri" w:eastAsia="PingFang SC"/>
          <w:sz w:val="15"/>
        </w:rPr>
        <w:t xml:space="preserve">[20] </w:t>
      </w:r>
      <w:hyperlink r:id="rId18">
        <w:r>
          <w:rPr>
            <w:rFonts w:ascii="Calibri" w:hAnsi="Calibri" w:eastAsia="PingFang SC"/>
            <w:color w:val="2E74B5"/>
            <w:u w:val="single"/>
            <w:sz w:val="15"/>
            <w:szCs w:val="15"/>
          </w:rPr>
          <w:t>AndroidIntent / PersonalAlign</w:t>
        </w:r>
      </w:hyperlink>
      <w:r>
        <w:rPr>
          <w:rFonts w:ascii="Calibri" w:hAnsi="Calibri" w:eastAsia="PingFang SC"/>
          <w:sz w:val="15"/>
        </w:rPr>
        <w:t>. 2026.</w:t>
      </w:r>
    </w:p>
    <w:p>
      <w:pPr>
        <w:spacing w:after="0" w:line="228" w:lineRule="auto"/>
        <w:ind w:left="360" w:hanging="360"/>
      </w:pPr>
      <w:r>
        <w:rPr>
          <w:rFonts w:ascii="Calibri" w:hAnsi="Calibri" w:eastAsia="PingFang SC"/>
          <w:sz w:val="15"/>
        </w:rPr>
        <w:t xml:space="preserve">[21] </w:t>
      </w:r>
      <w:hyperlink r:id="rId20">
        <w:r>
          <w:rPr>
            <w:rFonts w:ascii="Calibri" w:hAnsi="Calibri" w:eastAsia="PingFang SC"/>
            <w:color w:val="2E74B5"/>
            <w:u w:val="single"/>
            <w:sz w:val="15"/>
            <w:szCs w:val="15"/>
          </w:rPr>
          <w:t>ClarifyBench</w:t>
        </w:r>
      </w:hyperlink>
      <w:r>
        <w:rPr>
          <w:rFonts w:ascii="Calibri" w:hAnsi="Calibri" w:eastAsia="PingFang SC"/>
          <w:sz w:val="15"/>
        </w:rPr>
        <w:t>. 2026.</w:t>
      </w:r>
    </w:p>
    <w:p>
      <w:pPr>
        <w:spacing w:after="0" w:line="228" w:lineRule="auto"/>
        <w:ind w:left="360" w:hanging="360"/>
      </w:pPr>
      <w:r>
        <w:rPr>
          <w:rFonts w:ascii="Calibri" w:hAnsi="Calibri" w:eastAsia="PingFang SC"/>
          <w:sz w:val="15"/>
        </w:rPr>
        <w:t xml:space="preserve">[22] </w:t>
      </w:r>
      <w:hyperlink r:id="rId21">
        <w:r>
          <w:rPr>
            <w:rFonts w:ascii="Calibri" w:hAnsi="Calibri" w:eastAsia="PingFang SC"/>
            <w:color w:val="2E74B5"/>
            <w:u w:val="single"/>
            <w:sz w:val="15"/>
            <w:szCs w:val="15"/>
          </w:rPr>
          <w:t>HiL-Bench</w:t>
        </w:r>
      </w:hyperlink>
      <w:r>
        <w:rPr>
          <w:rFonts w:ascii="Calibri" w:hAnsi="Calibri" w:eastAsia="PingFang SC"/>
          <w:sz w:val="15"/>
        </w:rPr>
        <w:t>. 2026.</w:t>
      </w:r>
    </w:p>
    <w:p>
      <w:pPr>
        <w:spacing w:after="0" w:line="228" w:lineRule="auto"/>
        <w:ind w:left="360" w:hanging="360"/>
      </w:pPr>
      <w:r>
        <w:rPr>
          <w:rFonts w:ascii="Calibri" w:hAnsi="Calibri" w:eastAsia="PingFang SC"/>
          <w:sz w:val="15"/>
        </w:rPr>
        <w:t xml:space="preserve">[23] </w:t>
      </w:r>
      <w:hyperlink r:id="rId22">
        <w:r>
          <w:rPr>
            <w:rFonts w:ascii="Calibri" w:hAnsi="Calibri" w:eastAsia="PingFang SC"/>
            <w:color w:val="2E74B5"/>
            <w:u w:val="single"/>
            <w:sz w:val="15"/>
            <w:szCs w:val="15"/>
          </w:rPr>
          <w:t>UserBench</w:t>
        </w:r>
      </w:hyperlink>
      <w:r>
        <w:rPr>
          <w:rFonts w:ascii="Calibri" w:hAnsi="Calibri" w:eastAsia="PingFang SC"/>
          <w:sz w:val="15"/>
        </w:rPr>
        <w:t>. 2026.</w:t>
      </w:r>
    </w:p>
    <w:p>
      <w:pPr>
        <w:spacing w:after="0" w:line="228" w:lineRule="auto"/>
        <w:ind w:left="360" w:hanging="360"/>
      </w:pPr>
      <w:r>
        <w:rPr>
          <w:rFonts w:ascii="Calibri" w:hAnsi="Calibri" w:eastAsia="PingFang SC"/>
          <w:sz w:val="15"/>
        </w:rPr>
        <w:t xml:space="preserve">[24] </w:t>
      </w:r>
      <w:hyperlink r:id="rId23">
        <w:r>
          <w:rPr>
            <w:rFonts w:ascii="Calibri" w:hAnsi="Calibri" w:eastAsia="PingFang SC"/>
            <w:color w:val="2E74B5"/>
            <w:u w:val="single"/>
            <w:sz w:val="15"/>
            <w:szCs w:val="15"/>
          </w:rPr>
          <w:t>ATRBench</w:t>
        </w:r>
      </w:hyperlink>
      <w:r>
        <w:rPr>
          <w:rFonts w:ascii="Calibri" w:hAnsi="Calibri" w:eastAsia="PingFang SC"/>
          <w:sz w:val="15"/>
        </w:rPr>
        <w:t>. 2026.</w:t>
      </w:r>
    </w:p>
    <w:p>
      <w:pPr>
        <w:spacing w:after="0" w:line="228" w:lineRule="auto"/>
        <w:ind w:left="360" w:hanging="360"/>
      </w:pPr>
      <w:r>
        <w:rPr>
          <w:rFonts w:ascii="Calibri" w:hAnsi="Calibri" w:eastAsia="PingFang SC"/>
          <w:sz w:val="15"/>
        </w:rPr>
        <w:t xml:space="preserve">[25] </w:t>
      </w:r>
      <w:hyperlink r:id="rId24">
        <w:r>
          <w:rPr>
            <w:rFonts w:ascii="Calibri" w:hAnsi="Calibri" w:eastAsia="PingFang SC"/>
            <w:color w:val="2E74B5"/>
            <w:u w:val="single"/>
            <w:sz w:val="15"/>
            <w:szCs w:val="15"/>
          </w:rPr>
          <w:t>SovereignPA-Bench</w:t>
        </w:r>
      </w:hyperlink>
      <w:r>
        <w:rPr>
          <w:rFonts w:ascii="Calibri" w:hAnsi="Calibri" w:eastAsia="PingFang SC"/>
          <w:sz w:val="15"/>
        </w:rPr>
        <w:t>. 2026.</w:t>
      </w:r>
    </w:p>
    <w:p>
      <w:pPr>
        <w:spacing w:after="0" w:line="228" w:lineRule="auto"/>
        <w:ind w:left="360" w:hanging="360"/>
      </w:pPr>
      <w:r>
        <w:rPr>
          <w:rFonts w:ascii="Calibri" w:hAnsi="Calibri" w:eastAsia="PingFang SC"/>
          <w:sz w:val="15"/>
        </w:rPr>
        <w:t xml:space="preserve">[26] </w:t>
      </w:r>
      <w:hyperlink r:id="rId25">
        <w:r>
          <w:rPr>
            <w:rFonts w:ascii="Calibri" w:hAnsi="Calibri" w:eastAsia="PingFang SC"/>
            <w:color w:val="2E74B5"/>
            <w:u w:val="single"/>
            <w:sz w:val="15"/>
            <w:szCs w:val="15"/>
          </w:rPr>
          <w:t>HAS-Bench</w:t>
        </w:r>
      </w:hyperlink>
      <w:r>
        <w:rPr>
          <w:rFonts w:ascii="Calibri" w:hAnsi="Calibri" w:eastAsia="PingFang SC"/>
          <w:sz w:val="15"/>
        </w:rPr>
        <w:t>. 2026.</w:t>
      </w:r>
    </w:p>
    <w:p>
      <w:pPr>
        <w:spacing w:after="0" w:line="228" w:lineRule="auto"/>
        <w:ind w:left="360" w:hanging="360"/>
      </w:pPr>
      <w:r>
        <w:rPr>
          <w:rFonts w:ascii="Calibri" w:hAnsi="Calibri" w:eastAsia="PingFang SC"/>
          <w:sz w:val="15"/>
        </w:rPr>
        <w:t xml:space="preserve">[27] </w:t>
      </w:r>
      <w:hyperlink r:id="rId26">
        <w:r>
          <w:rPr>
            <w:rFonts w:ascii="Calibri" w:hAnsi="Calibri" w:eastAsia="PingFang SC"/>
            <w:color w:val="2E74B5"/>
            <w:u w:val="single"/>
            <w:sz w:val="15"/>
            <w:szCs w:val="15"/>
          </w:rPr>
          <w:t>Intent-Governed Tool Authorization</w:t>
        </w:r>
      </w:hyperlink>
      <w:r>
        <w:rPr>
          <w:rFonts w:ascii="Calibri" w:hAnsi="Calibri" w:eastAsia="PingFang SC"/>
          <w:sz w:val="15"/>
        </w:rPr>
        <w:t>. 2026.</w:t>
      </w:r>
    </w:p>
    <w:p>
      <w:pPr>
        <w:spacing w:after="0" w:line="228" w:lineRule="auto"/>
        <w:ind w:left="360" w:hanging="360"/>
      </w:pPr>
      <w:r>
        <w:rPr>
          <w:rFonts w:ascii="Calibri" w:hAnsi="Calibri" w:eastAsia="PingFang SC"/>
          <w:sz w:val="15"/>
        </w:rPr>
        <w:t xml:space="preserve">[28] </w:t>
      </w:r>
      <w:hyperlink r:id="rId27">
        <w:r>
          <w:rPr>
            <w:rFonts w:ascii="Calibri" w:hAnsi="Calibri" w:eastAsia="PingFang SC"/>
            <w:color w:val="2E74B5"/>
            <w:u w:val="single"/>
            <w:sz w:val="15"/>
            <w:szCs w:val="15"/>
          </w:rPr>
          <w:t>SentinelAgent / DelegationBench</w:t>
        </w:r>
      </w:hyperlink>
      <w:r>
        <w:rPr>
          <w:rFonts w:ascii="Calibri" w:hAnsi="Calibri" w:eastAsia="PingFang SC"/>
          <w:sz w:val="15"/>
        </w:rPr>
        <w:t>. 2026.</w:t>
      </w:r>
    </w:p>
    <w:p>
      <w:pPr>
        <w:spacing w:after="0" w:line="228" w:lineRule="auto"/>
        <w:ind w:left="360" w:hanging="360"/>
      </w:pPr>
      <w:r>
        <w:rPr>
          <w:rFonts w:ascii="Calibri" w:hAnsi="Calibri" w:eastAsia="PingFang SC"/>
          <w:sz w:val="15"/>
        </w:rPr>
        <w:t xml:space="preserve">[29] </w:t>
      </w:r>
      <w:hyperlink r:id="rId28">
        <w:r>
          <w:rPr>
            <w:rFonts w:ascii="Calibri" w:hAnsi="Calibri" w:eastAsia="PingFang SC"/>
            <w:color w:val="2E74B5"/>
            <w:u w:val="single"/>
            <w:sz w:val="15"/>
            <w:szCs w:val="15"/>
          </w:rPr>
          <w:t>MisKnow-Agent</w:t>
        </w:r>
      </w:hyperlink>
      <w:r>
        <w:rPr>
          <w:rFonts w:ascii="Calibri" w:hAnsi="Calibri" w:eastAsia="PingFang SC"/>
          <w:sz w:val="15"/>
        </w:rPr>
        <w:t>. 2026.</w:t>
      </w:r>
    </w:p>
    <w:p>
      <w:pPr>
        <w:spacing w:after="0" w:line="228" w:lineRule="auto"/>
        <w:ind w:left="360" w:hanging="360"/>
      </w:pPr>
      <w:r>
        <w:rPr>
          <w:rFonts w:ascii="Calibri" w:hAnsi="Calibri" w:eastAsia="PingFang SC"/>
          <w:sz w:val="15"/>
        </w:rPr>
        <w:t xml:space="preserve">[30] </w:t>
      </w:r>
      <w:hyperlink r:id="rId29">
        <w:r>
          <w:rPr>
            <w:rFonts w:ascii="Calibri" w:hAnsi="Calibri" w:eastAsia="PingFang SC"/>
            <w:color w:val="2E74B5"/>
            <w:u w:val="single"/>
            <w:sz w:val="15"/>
            <w:szCs w:val="15"/>
          </w:rPr>
          <w:t>DRNOISE</w:t>
        </w:r>
      </w:hyperlink>
      <w:r>
        <w:rPr>
          <w:rFonts w:ascii="Calibri" w:hAnsi="Calibri" w:eastAsia="PingFang SC"/>
          <w:sz w:val="15"/>
        </w:rPr>
        <w:t>. 2026.</w:t>
      </w:r>
    </w:p>
    <w:p>
      <w:pPr>
        <w:spacing w:after="0" w:line="228" w:lineRule="auto"/>
        <w:ind w:left="360" w:hanging="360"/>
      </w:pPr>
      <w:r>
        <w:rPr>
          <w:rFonts w:ascii="Calibri" w:hAnsi="Calibri" w:eastAsia="PingFang SC"/>
          <w:sz w:val="15"/>
        </w:rPr>
        <w:t xml:space="preserve">[31] </w:t>
      </w:r>
      <w:hyperlink r:id="rId30">
        <w:r>
          <w:rPr>
            <w:rFonts w:ascii="Calibri" w:hAnsi="Calibri" w:eastAsia="PingFang SC"/>
            <w:color w:val="2E74B5"/>
            <w:u w:val="single"/>
            <w:sz w:val="15"/>
            <w:szCs w:val="15"/>
          </w:rPr>
          <w:t>DeepFact</w:t>
        </w:r>
      </w:hyperlink>
      <w:r>
        <w:rPr>
          <w:rFonts w:ascii="Calibri" w:hAnsi="Calibri" w:eastAsia="PingFang SC"/>
          <w:sz w:val="15"/>
        </w:rPr>
        <w:t>. 2026.</w:t>
      </w:r>
    </w:p>
    <w:p>
      <w:pPr>
        <w:spacing w:after="0" w:line="228" w:lineRule="auto"/>
        <w:ind w:left="360" w:hanging="360"/>
      </w:pPr>
      <w:r>
        <w:rPr>
          <w:rFonts w:ascii="Calibri" w:hAnsi="Calibri" w:eastAsia="PingFang SC"/>
          <w:sz w:val="15"/>
        </w:rPr>
        <w:t xml:space="preserve">[32] </w:t>
      </w:r>
      <w:hyperlink r:id="rId31">
        <w:r>
          <w:rPr>
            <w:rFonts w:ascii="Calibri" w:hAnsi="Calibri" w:eastAsia="PingFang SC"/>
            <w:color w:val="2E74B5"/>
            <w:u w:val="single"/>
            <w:sz w:val="15"/>
            <w:szCs w:val="15"/>
          </w:rPr>
          <w:t>Mr Dre</w:t>
        </w:r>
      </w:hyperlink>
      <w:r>
        <w:rPr>
          <w:rFonts w:ascii="Calibri" w:hAnsi="Calibri" w:eastAsia="PingFang SC"/>
          <w:sz w:val="15"/>
        </w:rPr>
        <w:t>. 2026.</w:t>
      </w:r>
    </w:p>
    <w:p>
      <w:pPr>
        <w:spacing w:after="0" w:line="228" w:lineRule="auto"/>
        <w:ind w:left="360" w:hanging="360"/>
      </w:pPr>
      <w:r>
        <w:rPr>
          <w:rFonts w:ascii="Calibri" w:hAnsi="Calibri" w:eastAsia="PingFang SC"/>
          <w:sz w:val="15"/>
        </w:rPr>
        <w:t xml:space="preserve">[33] </w:t>
      </w:r>
      <w:hyperlink r:id="rId33">
        <w:r>
          <w:rPr>
            <w:rFonts w:ascii="Calibri" w:hAnsi="Calibri" w:eastAsia="PingFang SC"/>
            <w:color w:val="2E74B5"/>
            <w:u w:val="single"/>
            <w:sz w:val="15"/>
            <w:szCs w:val="15"/>
          </w:rPr>
          <w:t>Lost in Simulation</w:t>
        </w:r>
      </w:hyperlink>
      <w:r>
        <w:rPr>
          <w:rFonts w:ascii="Calibri" w:hAnsi="Calibri" w:eastAsia="PingFang SC"/>
          <w:sz w:val="15"/>
        </w:rPr>
        <w:t>. 2026.</w:t>
      </w:r>
    </w:p>
    <w:sectPr w:rsidR="00FC693F" w:rsidRPr="0006063C" w:rsidSect="00034616">
      <w:type w:val="continuous"/>
      <w:pgSz w:w="12240" w:h="15840"/>
      <w:pgMar w:top="1080" w:right="1080" w:bottom="1080" w:left="1080" w:header="708" w:footer="708" w:gutter="0"/>
      <w:cols w:space="36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Calibri" w:hAnsi="Calibri" w:eastAsia="PingFang SC"/>
        <w:color w:val="5B6B7A"/>
        <w:sz w:val="18"/>
      </w:rPr>
      <w:t xml:space="preserve">2026-8-9   ·   </w:t>
    </w:r>
    <w:r>
      <w:rPr>
        <w:rFonts w:ascii="Calibri" w:hAnsi="Calibri" w:eastAsia="PingFang SC"/>
        <w:color w:val="5B6B7A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PingFang SC"/>
        <w:b/>
        <w:color w:val="5B6B7A"/>
        <w:sz w:val="17"/>
      </w:rPr>
      <w:t>DEEPALIGN-BENCH  ·  正式 PROPOSAL 精简版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59" w:lineRule="auto"/>
      <w:jc w:val="left"/>
    </w:pPr>
    <w:rPr>
      <w:rFonts w:ascii="Calibri" w:hAnsi="Calibri" w:eastAsia="PingFang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Hiragino Sans GB"/>
      <w:b w:val="0"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 w:eastAsia="Hiragino Sans GB"/>
      <w:b w:val="0"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Calibri" w:hAnsi="Calibri" w:eastAsia="Hiragino Sans GB"/>
      <w:b w:val="0"/>
      <w:bCs/>
      <w:color w:val="163A6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0" w:line="252" w:lineRule="auto"/>
      <w:ind w:left="540" w:hanging="279"/>
      <w:contextualSpacing/>
    </w:pPr>
    <w:rPr>
      <w:rFonts w:ascii="Calibri" w:hAnsi="Calibri" w:eastAsia="PingFang SC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50" w:line="252" w:lineRule="auto"/>
      <w:ind w:left="540" w:hanging="279"/>
      <w:contextualSpacing/>
    </w:pPr>
    <w:rPr>
      <w:rFonts w:ascii="Calibri" w:hAnsi="Calibri" w:eastAsia="PingFang SC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arxiv.org/abs/2509.25106" TargetMode="External"/><Relationship Id="rId12" Type="http://schemas.openxmlformats.org/officeDocument/2006/relationships/hyperlink" Target="https://aclanthology.org/2026.acl-long.723/" TargetMode="External"/><Relationship Id="rId13" Type="http://schemas.openxmlformats.org/officeDocument/2006/relationships/hyperlink" Target="https://aclanthology.org/2024.acl-long.399/" TargetMode="External"/><Relationship Id="rId14" Type="http://schemas.openxmlformats.org/officeDocument/2006/relationships/hyperlink" Target="https://aclanthology.org/2025.findings-acl.927/" TargetMode="External"/><Relationship Id="rId15" Type="http://schemas.openxmlformats.org/officeDocument/2006/relationships/hyperlink" Target="https://aclanthology.org/2025.acl-long.1064/" TargetMode="External"/><Relationship Id="rId16" Type="http://schemas.openxmlformats.org/officeDocument/2006/relationships/hyperlink" Target="https://arxiv.org/abs/2504.14225" TargetMode="External"/><Relationship Id="rId17" Type="http://schemas.openxmlformats.org/officeDocument/2006/relationships/hyperlink" Target="https://aclanthology.org/2026.acl-long.370/" TargetMode="External"/><Relationship Id="rId18" Type="http://schemas.openxmlformats.org/officeDocument/2006/relationships/hyperlink" Target="https://aclanthology.org/2026.acl-long.1669/" TargetMode="External"/><Relationship Id="rId19" Type="http://schemas.openxmlformats.org/officeDocument/2006/relationships/hyperlink" Target="https://arxiv.org/abs/2605.10530" TargetMode="External"/><Relationship Id="rId20" Type="http://schemas.openxmlformats.org/officeDocument/2006/relationships/hyperlink" Target="https://aclanthology.org/2026.findings-acl.2028/" TargetMode="External"/><Relationship Id="rId21" Type="http://schemas.openxmlformats.org/officeDocument/2006/relationships/hyperlink" Target="https://arxiv.org/abs/2604.09408" TargetMode="External"/><Relationship Id="rId22" Type="http://schemas.openxmlformats.org/officeDocument/2006/relationships/hyperlink" Target="https://openreview.net/forum?id=iJS7nvlGPd" TargetMode="External"/><Relationship Id="rId23" Type="http://schemas.openxmlformats.org/officeDocument/2006/relationships/hyperlink" Target="https://arxiv.org/abs/2605.28108" TargetMode="External"/><Relationship Id="rId24" Type="http://schemas.openxmlformats.org/officeDocument/2006/relationships/hyperlink" Target="https://arxiv.org/abs/2607.05363" TargetMode="External"/><Relationship Id="rId25" Type="http://schemas.openxmlformats.org/officeDocument/2006/relationships/hyperlink" Target="https://arxiv.org/abs/2607.04329" TargetMode="External"/><Relationship Id="rId26" Type="http://schemas.openxmlformats.org/officeDocument/2006/relationships/hyperlink" Target="https://arxiv.org/abs/2606.22916" TargetMode="External"/><Relationship Id="rId27" Type="http://schemas.openxmlformats.org/officeDocument/2006/relationships/hyperlink" Target="https://arxiv.org/abs/2604.02767" TargetMode="External"/><Relationship Id="rId28" Type="http://schemas.openxmlformats.org/officeDocument/2006/relationships/hyperlink" Target="https://arxiv.org/abs/2607.20891" TargetMode="External"/><Relationship Id="rId29" Type="http://schemas.openxmlformats.org/officeDocument/2006/relationships/hyperlink" Target="https://arxiv.org/abs/2607.17291" TargetMode="External"/><Relationship Id="rId30" Type="http://schemas.openxmlformats.org/officeDocument/2006/relationships/hyperlink" Target="https://aclanthology.org/2026.acl-long.1586/" TargetMode="External"/><Relationship Id="rId31" Type="http://schemas.openxmlformats.org/officeDocument/2006/relationships/hyperlink" Target="https://aclanthology.org/2026.acl-long.609/" TargetMode="External"/><Relationship Id="rId32" Type="http://schemas.openxmlformats.org/officeDocument/2006/relationships/hyperlink" Target="https://arxiv.org/abs/2607.15948" TargetMode="External"/><Relationship Id="rId33" Type="http://schemas.openxmlformats.org/officeDocument/2006/relationships/hyperlink" Target="https://arxiv.org/abs/2601.17087" TargetMode="External"/><Relationship Id="rId34" Type="http://schemas.openxmlformats.org/officeDocument/2006/relationships/hyperlink" Target="https://arxiv.org/abs/2605.19276" TargetMode="External"/><Relationship Id="rId35" Type="http://schemas.openxmlformats.org/officeDocument/2006/relationships/hyperlink" Target="https://evalscope.readthedocs.io/en/refact_readme/get_started/introduction.html" TargetMode="External"/><Relationship Id="rId36" Type="http://schemas.openxmlformats.org/officeDocument/2006/relationships/hyperlink" Target="https://arxiv.org/abs/2510.14240" TargetMode="External"/><Relationship Id="rId37" Type="http://schemas.openxmlformats.org/officeDocument/2006/relationships/hyperlink" Target="https://openai.com/index/paperbench/" TargetMode="External"/><Relationship Id="rId38" Type="http://schemas.openxmlformats.org/officeDocument/2006/relationships/hyperlink" Target="https://arxiv.org/abs/2607.27056" TargetMode="External"/><Relationship Id="rId39" Type="http://schemas.openxmlformats.org/officeDocument/2006/relationships/hyperlink" Target="https://arxiv.org/abs/2607.20482" TargetMode="External"/><Relationship Id="rId40" Type="http://schemas.openxmlformats.org/officeDocument/2006/relationships/hyperlink" Target="https://arxiv.org/abs/2607.10526" TargetMode="External"/><Relationship Id="rId41" Type="http://schemas.openxmlformats.org/officeDocument/2006/relationships/hyperlink" Target="https://arxiv.org/abs/2607.03162" TargetMode="External"/><Relationship Id="rId42" Type="http://schemas.openxmlformats.org/officeDocument/2006/relationships/hyperlink" Target="https://arxiv.org/abs/2602.16173" TargetMode="External"/><Relationship Id="rId43" Type="http://schemas.openxmlformats.org/officeDocument/2006/relationships/hyperlink" Target="https://aclanthology.org/2026.acl-long.126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