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分钟讲清研究问题、方法、实验与两个月范围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v0.33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9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问题 → 数据 → 实验 → 评分 → 风险 → 决策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PDR-Bench 问报告是否适合你；DeepAlign-Bench 问报告是否让你做出了更好的决定。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评测对象与核心反事实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Task 与 Persona 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核心实验矩阵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结果/过程边界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论文贡献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八周安排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导师决策与主要风险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分钟数据、4 分钟实验与指标、3 分钟 Judge、3 分钟风险和导师决策。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已有工作已经测到用户理解、历史利用、工具行动、动态记忆和个性化 Deep Research。我们要补的不是更细的“适配分”，而是下游结果：</w:t>
      </w:r>
      <w:r>
        <w:rPr>
          <w:rFonts w:ascii="Calibri" w:hAnsi="Calibri" w:eastAsia="PingFang SC"/>
          <w:b/>
        </w:rPr>
        <w:t>共同质量受控后，个性化 Deep Research 报告是否真的让目标用户做出更好的决定。</w:t>
      </w:r>
    </w:p>
    <w:p>
      <w:pPr>
        <w:pStyle w:val="Heading2"/>
      </w:pPr>
      <w:r>
        <w:t>为什么需要新的 benchmark</w:t>
      </w:r>
    </w:p>
    <w:p>
      <w:r>
        <w:rPr>
          <w:rFonts w:ascii="Calibri" w:hAnsi="Calibri" w:eastAsia="PingFang SC"/>
        </w:rPr>
        <w:t>个性化评价已经经历三步。第一，Setoka、PersonaTrail/APeB 证明 agent 的用户信号可以来自异构记录、浏览轨迹与行为历史；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[9]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[11]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r>
        <w:rPr>
          <w:rFonts w:ascii="Calibri" w:hAnsi="Calibri" w:eastAsia="PingFang SC"/>
        </w:rPr>
        <w:t xml:space="preserve"> 第二，ETAPP 与 Mem2ActBench 已把这些信号落实到工具选择和参数，PAHF 还加入澄清、反馈和偏好漂移。</w:t>
      </w:r>
      <w:hyperlink r:id="rId14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r>
        <w:rPr>
          <w:rFonts w:ascii="Calibri" w:hAnsi="Calibri" w:eastAsia="PingFang SC"/>
        </w:rPr>
        <w:t xml:space="preserve"> 第三，PDR-Bench 和另一项 PDR 工作已经进入个性化 Deep Research；MyScholarQA 则发现合成用户与 LLM judge 会漏掉真人指出的细微错误。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[17]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r>
        <w:rPr>
          <w:rFonts w:ascii="Calibri" w:hAnsi="Calibri" w:eastAsia="PingFang SC"/>
        </w:rPr>
        <w:t xml:space="preserve"> PDR-Bench 的 task/persona-conditioned P-Score 已经能够评价给定用户条件下的报告适配质量。</w:t>
      </w:r>
    </w:p>
    <w:p>
      <w:r>
        <w:rPr>
          <w:rFonts w:ascii="Calibri" w:hAnsi="Calibri" w:eastAsia="PingFang SC"/>
        </w:rPr>
        <w:t>DeepAlign v0.31 已把 PDR-Bench 的 absolute adaptation 推进到跨用户 counterfactual fit，但两者都停在 artifact-level。v0.32 再向下游走一步：Phase A 用 task-only/matched/swapped、三类契约和共同质量门证明报告处理成立；Phase B 把三类报告随机分配到反事实等价任务上，测真实用户的 decision regret、错配伤害、硬约束和置信度校准。</w:t>
      </w:r>
    </w:p>
    <w:p>
      <w:r>
        <w:rPr>
          <w:rFonts w:ascii="Calibri" w:hAnsi="Calibri" w:eastAsia="PingFang SC"/>
        </w:rPr>
        <w:t>一句话差异：</w:t>
      </w:r>
      <w:r>
        <w:rPr>
          <w:rFonts w:ascii="Calibri" w:hAnsi="Calibri" w:eastAsia="PingFang SC"/>
          <w:b/>
        </w:rPr>
        <w:t>PDR-Bench 问报告是否适合你；DeepAlign-Bench 问这份报告是否让你决定得更好。</w:t>
      </w:r>
      <w:r>
        <w:rPr>
          <w:rFonts w:ascii="Calibri" w:hAnsi="Calibri" w:eastAsia="PingFang SC"/>
        </w:rPr>
        <w:t xml:space="preserve"> PF/CFA 是处理操纵检查和中介，不再是论文终点。若 CFA 高但 DDE≈0，论文应报告现有个性化 fit 指标缺乏下游代理效度。</w:t>
      </w:r>
    </w:p>
    <w:p>
      <w:pPr>
        <w:pStyle w:val="Heading2"/>
      </w:pPr>
      <w:r>
        <w:t>两个月交付范围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项目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锁定规模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Pilot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3 个完整 decision vertical slice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主集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通过 pilot 后扩到 8–12 个决策 family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真人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预计 36–48 名；功效模拟后冻结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报告条件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 / matched / swapped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核心 agent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2–3 条报告生成管线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压力测试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2–4 个适用 family 的次级层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主终点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DDE、WrongUserHarm、硬约束、校准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Phase A 配平 task-only、matched、swapped；Phase B 估计 DDE 与错配伤害。</w:t>
      </w:r>
    </w:p>
    <w:p>
      <w:pPr>
        <w:sectPr>
          <w:headerReference w:type="default" r:id="rId20"/>
          <w:footerReference w:type="default" r:id="rId21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论文要测的对象</w:t>
      </w:r>
    </w:p>
    <w:p>
      <w:r>
        <w:rPr>
          <w:rFonts w:ascii="Calibri" w:hAnsi="Calibri" w:eastAsia="PingFang SC"/>
        </w:rPr>
        <w:t>一个 case 由五组元数据定义：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</w:t>
      </w:r>
      <w:r>
        <w:rPr>
          <w:rFonts w:ascii="Calibri" w:hAnsi="Calibri" w:eastAsia="PingFang SC"/>
        </w:rPr>
        <w:t>：使用情境、研究意图、领域、交付物和任务强度；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</w:t>
      </w:r>
      <w:r>
        <w:rPr>
          <w:rFonts w:ascii="Calibri" w:hAnsi="Calibri" w:eastAsia="PingFang SC"/>
        </w:rPr>
        <w:t>：证据、时效、工具、预算和权限；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 State</w:t>
      </w:r>
      <w:r>
        <w:rPr>
          <w:rFonts w:ascii="Calibri" w:hAnsi="Calibri" w:eastAsia="PingFang SC"/>
        </w:rPr>
        <w:t>：目标、知识、约束、偏好、风险、受众和动态状态；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Signal Channel</w:t>
      </w:r>
      <w:r>
        <w:rPr>
          <w:rFonts w:ascii="Calibri" w:hAnsi="Calibri" w:eastAsia="PingFang SC"/>
        </w:rPr>
        <w:t>：persona、对话、澄清、历史、行为、工作区和反馈；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</w:t>
      </w:r>
      <w:r>
        <w:rPr>
          <w:rFonts w:ascii="Calibri" w:hAnsi="Calibri" w:eastAsia="PingFang SC"/>
        </w:rPr>
        <w:t>：模型版本、搜索、记忆、规划、多 agent 和工具。</w:t>
      </w:r>
    </w:p>
    <w:p>
      <w:r>
        <w:rPr>
          <w:rFonts w:ascii="Calibri" w:hAnsi="Calibri" w:eastAsia="PingFang SC"/>
        </w:rPr>
        <w:t>这五组信息组成 Evaluation Atlas。它定义完整可测试空间，但不承诺首版跑完所有组合。</w:t>
      </w:r>
    </w:p>
    <w:p>
      <w:pPr>
        <w:pStyle w:val="Heading2"/>
      </w:pPr>
      <w:r>
        <w:t>四种行为测试</w:t>
      </w:r>
    </w:p>
    <w:p>
      <w:pPr>
        <w:pStyle w:val="ListBullet"/>
      </w:pPr>
      <w:r>
        <w:rPr>
          <w:rFonts w:ascii="Calibri" w:hAnsi="Calibri" w:eastAsia="PingFang SC"/>
        </w:rPr>
        <w:t>Acquire：缺信息时会不会正确澄清；</w:t>
      </w:r>
    </w:p>
    <w:p>
      <w:pPr>
        <w:pStyle w:val="ListBullet"/>
      </w:pPr>
      <w:r>
        <w:rPr>
          <w:rFonts w:ascii="Calibri" w:hAnsi="Calibri" w:eastAsia="PingFang SC"/>
        </w:rPr>
        <w:t>Preserve：长任务和交接后会不会忘记；</w:t>
      </w:r>
    </w:p>
    <w:p>
      <w:pPr>
        <w:pStyle w:val="ListBullet"/>
      </w:pPr>
      <w:r>
        <w:rPr>
          <w:rFonts w:ascii="Calibri" w:hAnsi="Calibri" w:eastAsia="PingFang SC"/>
        </w:rPr>
        <w:t>Use：是否把用户信息落实到结果；</w:t>
      </w:r>
    </w:p>
    <w:p>
      <w:pPr>
        <w:pStyle w:val="ListBullet"/>
      </w:pPr>
      <w:r>
        <w:rPr>
          <w:rFonts w:ascii="Calibri" w:hAnsi="Calibri" w:eastAsia="PingFang SC"/>
        </w:rPr>
        <w:t>Update：用户状态按任务脚本变化后，能否采用当前真值并停止使用旧状态。</w:t>
      </w:r>
    </w:p>
    <w:p>
      <w:pPr>
        <w:pStyle w:val="Heading1"/>
      </w:pPr>
      <w:r>
        <w:t>2. Task 和 Persona 怎么构建</w:t>
      </w:r>
    </w:p>
    <w:p>
      <w:pPr>
        <w:pStyle w:val="Heading2"/>
      </w:pPr>
      <w:r>
        <w:t>Task 覆盖</w:t>
      </w:r>
    </w:p>
    <w:p>
      <w:r>
        <w:rPr>
          <w:rFonts w:ascii="Calibri" w:hAnsi="Calibri" w:eastAsia="PingFang SC"/>
        </w:rPr>
        <w:t xml:space="preserve">任务采用 </w:t>
      </w:r>
      <w:r>
        <w:rPr>
          <w:rFonts w:ascii="Courier New" w:hAnsi="Courier New" w:eastAsia="PingFang SC"/>
          <w:color w:val="6A3E00"/>
          <w:sz w:val="20"/>
        </w:rPr>
        <w:t>使用情境 × 研究意图 × 任务强度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使用情境：个人日常、专业企业、学术前沿；</w:t>
      </w:r>
    </w:p>
    <w:p>
      <w:pPr>
        <w:pStyle w:val="ListBullet"/>
      </w:pPr>
      <w:r>
        <w:rPr>
          <w:rFonts w:ascii="Calibri" w:hAnsi="Calibri" w:eastAsia="PingFang SC"/>
        </w:rPr>
        <w:t>研究意图：理解、发现、决策、预测、规划、审计；</w:t>
      </w:r>
    </w:p>
    <w:p>
      <w:pPr>
        <w:pStyle w:val="ListBullet"/>
      </w:pPr>
      <w:r>
        <w:rPr>
          <w:rFonts w:ascii="Calibri" w:hAnsi="Calibri" w:eastAsia="PingFang SC"/>
        </w:rPr>
        <w:t>任务强度：概念广度、逻辑层数、探索性、搜索 fan-out、时效和风险。</w:t>
      </w:r>
    </w:p>
    <w:p>
      <w:r>
        <w:rPr>
          <w:rFonts w:ascii="Calibri" w:hAnsi="Calibri" w:eastAsia="PingFang SC"/>
        </w:rPr>
        <w:t>Atlas 保留 3×6 ontology，但主实验不填满格子。先做 3 个 decision vertical slice，再按功效和可行性扩到 8–12 个 family。</w:t>
      </w:r>
    </w:p>
    <w:p>
      <w:r>
        <w:rPr>
          <w:rFonts w:ascii="Calibri" w:hAnsi="Calibri" w:eastAsia="PingFang SC"/>
        </w:rPr>
        <w:t>每个 family 的构造顺序固定为：真实需求 seed → 冻结共同 task/evidence/deliverable → 标注任务坐标 → 设置难度旋钮 → 配两个都自然的用户 → 冻结差异契约 → matched/swapped pilot。元数据分为自动导入并审计的 provenance、运行前双人标注/仲裁的构念字段、pilot 后另存的 observed 难度与失败；不能看到输出后改预期标签。</w:t>
      </w:r>
    </w:p>
    <w:p>
      <w:pPr>
        <w:pStyle w:val="Heading2"/>
      </w:pPr>
      <w:r>
        <w:t>Persona 原则</w:t>
      </w:r>
    </w:p>
    <w:p>
      <w:r>
        <w:rPr>
          <w:rFonts w:ascii="Calibri" w:hAnsi="Calibri" w:eastAsia="PingFang SC"/>
        </w:rPr>
        <w:t>Persona 不是人物小传，而是 task-conditioned user state 的一种展示。每组 persona-task 必须通过六项检查：场景真实、会影响决策、用户间可区分、存在共同核心、信息最少且隐私可控、不依赖刻板印象。</w:t>
      </w:r>
    </w:p>
    <w:p>
      <w:r>
        <w:rPr>
          <w:rFonts w:ascii="Calibri" w:hAnsi="Calibri" w:eastAsia="PingFang SC"/>
        </w:rPr>
        <w:t>实操采用：约 32–40 位参与者各选 1–2 个真实相关 task shell → 30–45 分钟结构化 elicitation → task-relevant fact ledger → Ua/Ub 共享核心 → 只改 2–4 个决策相关字段 → fact-to-contract map → 从同一 ledger 编译 persona/history/clarification → wrong-user/irrelevant/stale 负对照 → 原用户、相似用户、专家验证。Gold 优先两位真实用户；次选一位真实用户加第二位相似参与者确认的最小编辑；纯合成只作对照。</w:t>
      </w:r>
    </w:p>
    <w:p>
      <w:r>
        <w:rPr>
          <w:rFonts w:ascii="Calibri" w:hAnsi="Calibri" w:eastAsia="PingFang SC"/>
        </w:rPr>
        <w:t>每个 user-task 都在运行前建立真值包：共同要求、用户特异要求、禁止事项、可接受替代、关键证据、严重错误封顶、预期澄清点、matched/swapped 的差异预测。</w:t>
      </w:r>
    </w:p>
    <w:p>
      <w:pPr>
        <w:pStyle w:val="Heading1"/>
      </w:pPr>
      <w:r>
        <w:t>3. 核心实验</w:t>
      </w:r>
    </w:p>
    <w:p>
      <w:r>
        <w:rPr>
          <w:rFonts w:ascii="Calibri" w:hAnsi="Calibri" w:eastAsia="PingFang SC"/>
          <w:b/>
        </w:rPr>
        <w:t>Phase A：</w:t>
      </w:r>
      <w:r>
        <w:rPr>
          <w:rFonts w:ascii="Calibri" w:hAnsi="Calibri" w:eastAsia="PingFang SC"/>
        </w:rPr>
        <w:t>为每个 family 生成 task-only、matched、swapped 报告，用 TQ/FR/长度/证据/边界配平，并用 CFA 确认用户特异处理成立。</w:t>
      </w:r>
    </w:p>
    <w:p>
      <w:r>
        <w:rPr>
          <w:rFonts w:ascii="Calibri" w:hAnsi="Calibri" w:eastAsia="PingFang SC"/>
          <w:b/>
        </w:rPr>
        <w:t>Phase B：</w:t>
      </w:r>
      <w:r>
        <w:rPr>
          <w:rFonts w:ascii="Calibri" w:hAnsi="Calibri" w:eastAsia="PingFang SC"/>
        </w:rPr>
        <w:t>在等价 task shell 上把三种报告随机分配给真实目标用户；标签和来源盲化，顺序用 Latin square/区组随机平衡。用户阅读前后提交决定与置信度。</w:t>
      </w:r>
    </w:p>
    <w:p>
      <w:r>
        <w:rPr>
          <w:rFonts w:ascii="Calibri" w:hAnsi="Calibri" w:eastAsia="PingFang SC"/>
        </w:rPr>
        <w:t>首轮只比较 2–3 条报告生成管线。长程、冲突、权限和动态状态只在 2–4 个适用 family 作次级 stress layer。</w:t>
      </w:r>
    </w:p>
    <w:p>
      <w:r>
        <w:rPr>
          <w:rFonts w:ascii="Calibri" w:hAnsi="Calibri" w:eastAsia="PingFang SC"/>
        </w:rPr>
        <w:t>三类运行环境实操为：E1 Frozen Harness 使用只读快照和统一预算，形成因果主榜；E2 Live Product/Web 使用原生工具并记录版本、日期、地区和 URL 快照，形成产品榜；E3 Stateful Sandbox 在固定 checkpoint 注入冲突、handoff 和动态更新，形成压力与机制榜。它们与 agent 类型正交，需统一 reset/signal/checkpoint/event/artifact/trace adapter。</w:t>
      </w:r>
    </w:p>
    <w:p>
      <w:r>
        <w:rPr>
          <w:rFonts w:ascii="Calibri" w:hAnsi="Calibri" w:eastAsia="PingFang SC"/>
        </w:rPr>
        <w:t>开工顺序：先用 2 family × 2 agent 跑通 E1；再用 1 个 anchor 跑通 E3 checkpoint/conflict/update；最后做 1 个 E2 产品 adapter smoke test。三条轨道不同时搭满。</w:t>
      </w:r>
    </w:p>
    <w:p>
      <w:pPr>
        <w:pStyle w:val="Heading1"/>
      </w:pPr>
      <w:r>
        <w:t>4. Rubric 和 Metrics</w:t>
      </w:r>
    </w:p>
    <w:p>
      <w:pPr>
        <w:pStyle w:val="Heading2"/>
      </w:pPr>
      <w:r>
        <w:t>Metadata-driven Rubric Compiler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case metadata + user ledger + contracts + evidence/permission</w:t>
        <w:br/>
        <w:t>→ 选择 Core / Personalization / Intent / Deliverable / Operator / Risk module</w:t>
        <w:br/>
        <w:t>→ 选择 direction node → 填入 case 参数 → leaf expansion → 校验 → 冻结 rubric bundle</w:t>
      </w:r>
    </w:p>
    <w:p>
      <w:r>
        <w:rPr>
          <w:rFonts w:ascii="Calibri" w:hAnsi="Calibri" w:eastAsia="PingFang SC"/>
        </w:rPr>
        <w:t>有六个相互衔接的机器可读对象：case schema、固定模板 registry、36-module library、固定 leaf schema、metric binding schema 和 data-factory protocol。模板路由随元数据变化：六类 research intent 各有模板；report / memo / workbook / code / slides / webpage / multi-file 各有交付物模板；stakes、permission、operator 再激活风险与压力模板。统一的是 leaf 格式、适用条件和聚合规则，不是让不同任务共用一张表。</w:t>
      </w:r>
    </w:p>
    <w:p>
      <w:r>
        <w:rPr>
          <w:rFonts w:ascii="Calibri" w:hAnsi="Calibri" w:eastAsia="PingFang SC"/>
        </w:rPr>
        <w:t>现在另有一份 36-module library：6 Core + 9 Personalization + 6 Intent + 7 Deliverable + 4 Operator + 4 Risk。每个 case 只激活适用子集。强点不是“比 PDR-Bench 多几维”，而是每个 personalization leaf 有 user fact + must-change provenance、A/B 模块对称、同一 bundle 交叉评 matched/swapped，并用 must-hold/must-not 阻止无效差异和过度个性化。</w:t>
      </w:r>
    </w:p>
    <w:p>
      <w:r>
        <w:rPr>
          <w:rFonts w:ascii="Calibri" w:hAnsi="Calibri" w:eastAsia="PingFang SC"/>
          <w:b/>
        </w:rPr>
        <w:t>当前成熟度：</w:t>
      </w:r>
      <w:r>
        <w:rPr>
          <w:rFonts w:ascii="Calibri" w:hAnsi="Calibri" w:eastAsia="PingFang SC"/>
        </w:rPr>
        <w:t>v0.33 把 rubric compiler 降为 Phase A 的报告资格门，并完成4个合成 family、24份报告、48个 artifact-judge 单元的最小流水线测试；它只证明流程有信号，不替代真人 DDE。自动 validator、owner-aware 路由器和 bundle 导出器仍是第 1 周工程任务。Module 是父级能力域，node 是可复用评价方向，leaf 才是带用户、阈值、证据和锚点的 case-specific 标准。</w:t>
      </w:r>
    </w:p>
    <w:p>
      <w:r>
        <w:rPr>
          <w:rFonts w:ascii="Calibri" w:hAnsi="Calibri" w:eastAsia="PingFang SC"/>
          <w:b/>
        </w:rPr>
        <w:t>Leaf expansion</w:t>
      </w:r>
      <w:r>
        <w:rPr>
          <w:rFonts w:ascii="Calibri" w:hAnsi="Calibri" w:eastAsia="PingFang SC"/>
        </w:rPr>
        <w:t xml:space="preserve"> 是运行前把复合要求拆成原子项。例如“Ua 的建议符合预算和风险”拆成“首阶段 ≤50 万”“三个月可逆试点”“继续/退出阈值”，每条都附 evidence target、0/1/2 锚点、weight、hard gate、judge route 和直接 metric binding。冻结后所有 agent 共用，不能看完输出再改。</w:t>
      </w:r>
    </w:p>
    <w:p>
      <w:pPr>
        <w:pStyle w:val="Heading2"/>
      </w:pPr>
      <w:r>
        <w:t>四类评价契约</w:t>
      </w:r>
    </w:p>
    <w:p>
      <w:pPr>
        <w:pStyle w:val="ListBullet"/>
      </w:pPr>
      <w:r>
        <w:rPr>
          <w:rFonts w:ascii="Calibri" w:hAnsi="Calibri" w:eastAsia="PingFang SC"/>
        </w:rPr>
        <w:t>Must change：不同用户必须变化；</w:t>
      </w:r>
    </w:p>
    <w:p>
      <w:pPr>
        <w:pStyle w:val="ListBullet"/>
      </w:pPr>
      <w:r>
        <w:rPr>
          <w:rFonts w:ascii="Calibri" w:hAnsi="Calibri" w:eastAsia="PingFang SC"/>
        </w:rPr>
        <w:t>Must hold：共同事实和质量必须保持；</w:t>
      </w:r>
    </w:p>
    <w:p>
      <w:pPr>
        <w:pStyle w:val="ListBullet"/>
      </w:pPr>
      <w:r>
        <w:rPr>
          <w:rFonts w:ascii="Calibri" w:hAnsi="Calibri" w:eastAsia="PingFang SC"/>
        </w:rPr>
        <w:t>Must not：不得假设、泄露或越权；</w:t>
      </w:r>
    </w:p>
    <w:p>
      <w:pPr>
        <w:pStyle w:val="ListBullet"/>
      </w:pPr>
      <w:r>
        <w:rPr>
          <w:rFonts w:ascii="Calibri" w:hAnsi="Calibri" w:eastAsia="PingFang SC"/>
        </w:rPr>
        <w:t>Clarify if unknown：缺关键信息时应提问或给条件分支。</w:t>
      </w:r>
    </w:p>
    <w:p>
      <w:pPr>
        <w:pStyle w:val="Heading2"/>
      </w:pPr>
      <w:r>
        <w:t>Leaf 到指标的显式绑定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Leaf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直接指标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后续用途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common / intent / deliverable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TQ；事实项同时 FR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基础质量门槛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must-change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指定用户 PF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matched/swapped 交叉评分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must-hold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TQ + Neutral Invariance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检查不该变的是否稳定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must-not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MP / hard gate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防泄露、越权与过度个性化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clarify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Clarification Correctness；错误假设进 MP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获取信息边界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operator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paired diagnostic Δ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S0–S3 压力诊断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TQ/FR/PF/MP 直接聚合 leaves；</w:t>
      </w:r>
      <w:r>
        <w:rPr>
          <w:rFonts w:ascii="Calibri" w:hAnsi="Calibri" w:eastAsia="PingFang SC"/>
          <w:b/>
        </w:rPr>
        <w:t>CFA 不绑定某一条 leaf</w:t>
      </w:r>
      <w:r>
        <w:rPr>
          <w:rFonts w:ascii="Calibri" w:hAnsi="Calibri" w:eastAsia="PingFang SC"/>
        </w:rPr>
        <w:t xml:space="preserve">。Ua 的同一组 PF leaves 同时评分 </w:t>
      </w:r>
      <w:r>
        <w:rPr>
          <w:rFonts w:ascii="Courier New" w:hAnsi="Courier New" w:eastAsia="PingFang SC"/>
          <w:color w:val="6A3E00"/>
          <w:sz w:val="20"/>
        </w:rPr>
        <w:t>Y_a/Y_b</w:t>
      </w:r>
      <w:r>
        <w:rPr>
          <w:rFonts w:ascii="Calibri" w:hAnsi="Calibri" w:eastAsia="PingFang SC"/>
        </w:rPr>
        <w:t xml:space="preserve">，Ub 同理，四个 PF 单元再计算 CFA。完整例子和 score trace 已写入 </w:t>
      </w:r>
      <w:r>
        <w:rPr>
          <w:rFonts w:ascii="Courier New" w:hAnsi="Courier New" w:eastAsia="PingFang SC"/>
          <w:color w:val="6A3E00"/>
          <w:sz w:val="20"/>
        </w:rPr>
        <w:t>rubric_bundle.example.yaml</w:t>
      </w:r>
      <w:r>
        <w:rPr>
          <w:rFonts w:ascii="Calibri" w:hAnsi="Calibri" w:eastAsia="PingFang SC"/>
        </w:rPr>
        <w:t>。</w:t>
      </w:r>
    </w:p>
    <w:p>
      <w:pPr>
        <w:pStyle w:val="Heading2"/>
      </w:pPr>
      <w:r>
        <w:t>主指标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指标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回答的问题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TQ / FR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任务和事实是否先过基本质量门槛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PF − MP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用户特异要求减去误用、泄露和过度迎合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Δa / Δb；CFA mean/min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 是否在两个用户方向都优于 swapped，避免正负抵消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A_min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两份 matched 中较差的一份是否仍达到绝对适配资格线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cos_spec / mag_spec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双向是否平衡、差值是否足够大；只作诊断，不合成总分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Gain / NI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相对 task-only 是不劣还是达到预注册的双向实际增益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b/>
                <w:sz w:val="16"/>
              </w:rPr>
              <w:t>DDE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 regret − matched regret；正值才是下游决策收益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b/>
                <w:sz w:val="16"/>
              </w:rPr>
              <w:t>WrongUserHarm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 regret − task-only regret；衡量错配个性化伤害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Constraint / Calibration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硬约束是否满足、置信度是否校准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Worst-view CFA / Cue Gap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同一 user-state 换表达后是否仍稳定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Retention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长任务中用户适配保留多少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Update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状态改变后采用当前真值、避免旧状态残留的能力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主榜先过 Phase A 共同质量门，再报告 DDE、WrongUserHarm、硬约束和校准。PF/CFA 单列为操纵检查与中介；如果 CFA 高但 DDE≈0，就报告 fit 指标的代理失效。</w:t>
      </w:r>
    </w:p>
    <w:p>
      <w:r>
        <w:rPr>
          <w:rFonts w:ascii="Calibri" w:hAnsi="Calibri" w:eastAsia="PingFang SC"/>
        </w:rPr>
        <w:t>Leaderboard 分四张 profile：clean task/deliverable、signal acquisition、S0–S3 stress/failure curve、boundary/governance；只有同 anchor、同环境、同预算的 agent 才做显著性比较。</w:t>
      </w:r>
    </w:p>
    <w:p>
      <w:pPr>
        <w:pStyle w:val="Heading1"/>
      </w:pPr>
      <w:r>
        <w:t>5. Judge 方案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L0 确定性 verifier</w:t>
        <w:br/>
        <w:t>→ L1 证据 verifier</w:t>
        <w:br/>
        <w:t>→ L2 强通用 rubric judge</w:t>
        <w:br/>
        <w:t>→ L3 目标用户/领域专家复核</w:t>
      </w:r>
    </w:p>
    <w:p>
      <w:r>
        <w:rPr>
          <w:rFonts w:ascii="Calibri" w:hAnsi="Calibri" w:eastAsia="PingFang SC"/>
        </w:rPr>
        <w:t>JudgeBench 用 240 个单元测试位置偏差、长度偏差、漂亮格式诱饵、persona 关键词堆叠、隐私泄露、边界答案和正确弃权。</w:t>
      </w:r>
    </w:p>
    <w:p>
      <w:r>
        <w:rPr>
          <w:rFonts w:ascii="Calibri" w:hAnsi="Calibri" w:eastAsia="PingFang SC"/>
        </w:rPr>
        <w:t>两个月主线：</w:t>
      </w:r>
      <w:r>
        <w:rPr>
          <w:rFonts w:ascii="Courier New" w:hAnsi="Courier New" w:eastAsia="PingFang SC"/>
          <w:color w:val="6A3E00"/>
          <w:sz w:val="20"/>
        </w:rPr>
        <w:t>verifier → strong judge → 20% 分层人评 + 分歧仲裁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SFT scorer 只在第 4 周前已有高质量 gold 且不阻塞主实验时进入附录。“人工 0/1 + GPT reason”不能直接当新真值，必须加入 evidence span、错误类型、置信度和弃权。</w:t>
      </w:r>
    </w:p>
    <w:p>
      <w:pPr>
        <w:pStyle w:val="Heading1"/>
      </w:pPr>
      <w:r>
        <w:t>6. 最终交付物是否足够</w:t>
      </w:r>
    </w:p>
    <w:p>
      <w:pPr>
        <w:pStyle w:val="Heading2"/>
      </w:pPr>
      <w:r>
        <w:t>主榜：足够</w:t>
      </w:r>
    </w:p>
    <w:p>
      <w:r>
        <w:rPr>
          <w:rFonts w:ascii="Calibri" w:hAnsi="Calibri" w:eastAsia="PingFang SC"/>
        </w:rPr>
        <w:t>最终交付物足以做 Phase A qualification；Phase B 必须观察真实用户的决定，才能声称个性化带来下游效用。</w:t>
      </w:r>
    </w:p>
    <w:p>
      <w:pPr>
        <w:pStyle w:val="Heading2"/>
      </w:pPr>
      <w:r>
        <w:t>机制结论：不够</w:t>
      </w:r>
    </w:p>
    <w:p>
      <w:r>
        <w:rPr>
          <w:rFonts w:ascii="Calibri" w:hAnsi="Calibri" w:eastAsia="PingFang SC"/>
        </w:rPr>
        <w:t>只看最后报告无法区分“没读到、忘了、知道但没用”。因此全量保存轻量轨迹，20%–30% 子集做 memory、handoff 和 dynamic-update 的受控压力分叉。</w:t>
      </w:r>
    </w:p>
    <w:p>
      <w:r>
        <w:rPr>
          <w:rFonts w:ascii="Calibri" w:hAnsi="Calibri" w:eastAsia="PingFang SC"/>
        </w:rPr>
        <w:t>如果诊断子集没有完成，论文只主张“最终交付物个性化”，不主张已经定位内部偏移时刻。</w:t>
      </w:r>
    </w:p>
    <w:p>
      <w:pPr>
        <w:pStyle w:val="Heading1"/>
      </w:pPr>
      <w:r>
        <w:t>7. 预期论文贡献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Downstream Decision Effect protocol</w:t>
      </w:r>
      <w:r>
        <w:rPr>
          <w:rFonts w:ascii="Calibri" w:hAnsi="Calibri" w:eastAsia="PingFang SC"/>
        </w:rPr>
        <w:t>：把个性化报告作为随机处理，以可验证 regret 为终点；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wrong-user negative control</w:t>
      </w:r>
      <w:r>
        <w:rPr>
          <w:rFonts w:ascii="Calibri" w:hAnsi="Calibri" w:eastAsia="PingFang SC"/>
        </w:rPr>
        <w:t>：区分一般高质量帮助与用户特异收益/伤害；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两阶段 benchmark</w:t>
      </w:r>
      <w:r>
        <w:rPr>
          <w:rFonts w:ascii="Calibri" w:hAnsi="Calibri" w:eastAsia="PingFang SC"/>
        </w:rPr>
        <w:t>：Phase A 报告 qualification，Phase B 真人 decision trial；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utility verifier</w:t>
      </w:r>
      <w:r>
        <w:rPr>
          <w:rFonts w:ascii="Calibri" w:hAnsi="Calibri" w:eastAsia="PingFang SC"/>
        </w:rPr>
        <w:t>：把硬约束、环境终态与用户软权重在输出前冻结；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代理效度分析</w:t>
      </w:r>
      <w:r>
        <w:rPr>
          <w:rFonts w:ascii="Calibri" w:hAnsi="Calibri" w:eastAsia="PingFang SC"/>
        </w:rPr>
        <w:t>：检验 PF/CFA 何时能、何时不能预测 DDE。</w:t>
      </w:r>
    </w:p>
    <w:p>
      <w:pPr>
        <w:pStyle w:val="Heading2"/>
      </w:pPr>
      <w:r>
        <w:t>与 PDR-Bench 的关键差异</w:t>
      </w:r>
    </w:p>
    <w:p>
      <w:r>
        <w:rPr>
          <w:rFonts w:ascii="Calibri" w:hAnsi="Calibri" w:eastAsia="PingFang SC"/>
        </w:rPr>
        <w:t>PDR-Bench 已建立 task–persona 条件下的 artifact fit。DeepAlign 不再只把 fit 识别得更严格，而是验证个性化报告对真实用户决策的因果效果。PDR 的 judge 边界解释为什么 Phase A 要严格配平，但不是核心创新。</w:t>
      </w:r>
    </w:p>
    <w:p>
      <w:pPr>
        <w:pStyle w:val="Heading1"/>
      </w:pPr>
      <w:r>
        <w:t>8. 两个月安排</w:t>
      </w:r>
    </w:p>
    <w:p>
      <w:r>
        <w:rPr>
          <w:rFonts w:ascii="Calibri" w:hAnsi="Calibri" w:eastAsia="PingFang SC"/>
        </w:rPr>
        <w:t>先做 3 个完整 decision vertical slice。至少 2 个通过 utility、task-shell 等价、报告配平与实施可行性门后，再按功效模拟扩到 8–12 个 family。E1 Frozen 是主轨，stateful/live 只作少量外部效度。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研究产出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Go / No-Go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3 个 vertical slice、utility 与 task-shell schema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utility 是否可冻结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三臂报告、Phase A 配平、盲化与 consent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条件是否可比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真人 pilot、方差/顺序/流失估计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设计是否有效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功效模拟并冻结 8–12 family 与样本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功效不足则减系统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Phase A 运行 + Phase B 首批实验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暂停 stress layer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真人主实验与仲裁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保护 DDE 主终点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DDE/错配伤害/代理效度分析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删除机制支线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不再新增分类和系统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  <w:b/>
        </w:rPr>
        <w:t>ICLR readiness：</w:t>
      </w:r>
      <w:r>
        <w:rPr>
          <w:rFonts w:ascii="Calibri" w:hAnsi="Calibri" w:eastAsia="PingFang SC"/>
        </w:rPr>
        <w:t>官方近年总体录用率约 27%–32%。</w:t>
      </w:r>
      <w:hyperlink r:id="rId25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26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r>
        <w:rPr>
          <w:rFonts w:ascii="Calibri" w:hAnsi="Calibri" w:eastAsia="PingFang SC"/>
        </w:rPr>
        <w:t xml:space="preserve"> v0.33 的合成 pilot 只证明 Phase A 流程有信号，并发现 judge 分歧和 owner-routing 风险；它不包含真人 DDE，不能提高中稿判断。是否有稳定 DDE/错配伤害、严格报告配平和可复现 decision environment，比 family 数量更决定论文强度。</w:t>
      </w: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是否同意把 DDE 与 wrong-user harm 锁定为唯一核心贡献，PF/CFA 降为 Phase A？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是否同意由 3-family pilot 后的功效模拟决定 8–12 family 和真人样本？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是否接受减少 agent、taxonomy 和 stress 广度来保护真人统计功效？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伦理审查/豁免、招募和真实决策材料能否立即启动？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若 CFA 高而 DDE≈0，是否接受把论文写成“现有 fit 指标缺乏下游代理效度”？</w:t>
      </w:r>
    </w:p>
    <w:p>
      <w:pPr>
        <w:pStyle w:val="Heading1"/>
      </w:pPr>
      <w:r>
        <w:t>10. 最重要的风险</w:t>
      </w:r>
    </w:p>
    <w:p>
      <w:pPr>
        <w:pStyle w:val="ListBullet"/>
      </w:pPr>
      <w:r>
        <w:rPr>
          <w:rFonts w:ascii="Calibri" w:hAnsi="Calibri" w:eastAsia="PingFang SC"/>
        </w:rPr>
        <w:t>Utility 如果被 persona 直接泄漏、由研究者事后调整，或不能对应可验证终态，DDE 没有构念效度；</w:t>
      </w:r>
    </w:p>
    <w:p>
      <w:pPr>
        <w:pStyle w:val="ListBullet"/>
      </w:pPr>
      <w:r>
        <w:rPr>
          <w:rFonts w:ascii="Calibri" w:hAnsi="Calibri" w:eastAsia="PingFang SC"/>
        </w:rPr>
        <w:t>等价 task shell 如果难度、熟悉度或顺序不平衡，报告处理和任务效应会混淆；</w:t>
      </w:r>
    </w:p>
    <w:p>
      <w:pPr>
        <w:pStyle w:val="ListBullet"/>
      </w:pPr>
      <w:r>
        <w:rPr>
          <w:rFonts w:ascii="Calibri" w:hAnsi="Calibri" w:eastAsia="PingFang SC"/>
        </w:rPr>
        <w:t>Persona 如果只是作者想象，matched 处理不代表真实目标用户；</w:t>
      </w:r>
    </w:p>
    <w:p>
      <w:pPr>
        <w:pStyle w:val="ListBullet"/>
      </w:pPr>
      <w:r>
        <w:rPr>
          <w:rFonts w:ascii="Calibri" w:hAnsi="Calibri" w:eastAsia="PingFang SC"/>
        </w:rPr>
        <w:t>matched/swapped 如果共同质量不等，或 PF/CFA 不分离，Phase A 操作失败，不能进入真人主试验；</w:t>
      </w:r>
    </w:p>
    <w:p>
      <w:pPr>
        <w:pStyle w:val="ListBullet"/>
      </w:pPr>
      <w:r>
        <w:rPr>
          <w:rFonts w:ascii="Calibri" w:hAnsi="Calibri" w:eastAsia="PingFang SC"/>
        </w:rPr>
        <w:t>真人样本不足、流失或 family 聚类被忽略，会制造不稳定的 DDE；</w:t>
      </w:r>
    </w:p>
    <w:p>
      <w:pPr>
        <w:pStyle w:val="ListBullet"/>
      </w:pPr>
      <w:r>
        <w:rPr>
          <w:rFonts w:ascii="Calibri" w:hAnsi="Calibri" w:eastAsia="PingFang SC"/>
        </w:rPr>
        <w:t>两个月最大的风险不是任务少，而是继续扩大 agent、taxonomy 和 stress，挤掉真人主实验的统计功效。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OpenCompass Team. </w:t>
      </w:r>
      <w:r>
        <w:rPr>
          <w:rFonts w:ascii="Calibri" w:hAnsi="Calibri" w:eastAsia="PingFang SC"/>
          <w:i/>
          <w:sz w:val="14"/>
        </w:rPr>
        <w:t>OpenCompass: A Universal Evaluation Platform for Large Language Models</w:t>
      </w:r>
      <w:r>
        <w:rPr>
          <w:rFonts w:ascii="Calibri" w:hAnsi="Calibri" w:eastAsia="PingFang SC"/>
          <w:sz w:val="14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Zhang et al. </w:t>
      </w:r>
      <w:r>
        <w:rPr>
          <w:rFonts w:ascii="Calibri" w:hAnsi="Calibri" w:eastAsia="PingFang SC"/>
          <w:i/>
          <w:sz w:val="14"/>
        </w:rPr>
        <w:t>Agent-SafetyBench</w:t>
      </w:r>
      <w:r>
        <w:rPr>
          <w:rFonts w:ascii="Calibri" w:hAnsi="Calibri" w:eastAsia="PingFang SC"/>
          <w:sz w:val="14"/>
        </w:rPr>
        <w:t>. arXiv:2412.14470.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</w:t>
      </w:r>
      <w:r>
        <w:rPr>
          <w:rFonts w:ascii="Calibri" w:hAnsi="Calibri" w:eastAsia="PingFang SC"/>
          <w:i/>
          <w:sz w:val="14"/>
        </w:rPr>
        <w:t>Towards Personalized Deep Research: Benchmarks and Evaluations</w:t>
      </w:r>
      <w:r>
        <w:rPr>
          <w:rFonts w:ascii="Calibri" w:hAnsi="Calibri" w:eastAsia="PingFang SC"/>
          <w:sz w:val="14"/>
        </w:rPr>
        <w:t>. arXiv:2509.25106.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Wang et al. </w:t>
      </w:r>
      <w:r>
        <w:rPr>
          <w:rFonts w:ascii="Calibri" w:hAnsi="Calibri" w:eastAsia="PingFang SC"/>
          <w:i/>
          <w:sz w:val="14"/>
        </w:rPr>
        <w:t>LiveResearchBench</w:t>
      </w:r>
      <w:r>
        <w:rPr>
          <w:rFonts w:ascii="Calibri" w:hAnsi="Calibri" w:eastAsia="PingFang SC"/>
          <w:sz w:val="14"/>
        </w:rPr>
        <w:t>. arXiv:2510.14240.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[5] Sharma et al. </w:t>
      </w:r>
      <w:r>
        <w:rPr>
          <w:rFonts w:ascii="Calibri" w:hAnsi="Calibri" w:eastAsia="PingFang SC"/>
          <w:i/>
          <w:sz w:val="14"/>
        </w:rPr>
        <w:t>ResearchRubrics</w:t>
      </w:r>
      <w:r>
        <w:rPr>
          <w:rFonts w:ascii="Calibri" w:hAnsi="Calibri" w:eastAsia="PingFang SC"/>
          <w:sz w:val="14"/>
        </w:rPr>
        <w:t>. arXiv:2511.07685.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[6] Liang et al. </w:t>
      </w:r>
      <w:r>
        <w:rPr>
          <w:rFonts w:ascii="Calibri" w:hAnsi="Calibri" w:eastAsia="PingFang SC"/>
          <w:i/>
          <w:sz w:val="14"/>
        </w:rPr>
        <w:t>HELM</w:t>
      </w:r>
      <w:r>
        <w:rPr>
          <w:rFonts w:ascii="Calibri" w:hAnsi="Calibri" w:eastAsia="PingFang SC"/>
          <w:sz w:val="14"/>
        </w:rPr>
        <w:t>. TMLR, 2023.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[7] Ribeiro et al. </w:t>
      </w:r>
      <w:r>
        <w:rPr>
          <w:rFonts w:ascii="Calibri" w:hAnsi="Calibri" w:eastAsia="PingFang SC"/>
          <w:i/>
          <w:sz w:val="14"/>
        </w:rPr>
        <w:t>CheckList</w:t>
      </w:r>
      <w:r>
        <w:rPr>
          <w:rFonts w:ascii="Calibri" w:hAnsi="Calibri" w:eastAsia="PingFang SC"/>
          <w:sz w:val="14"/>
        </w:rPr>
        <w:t>. ACL, 2020.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[8] Reuel et al. </w:t>
      </w:r>
      <w:r>
        <w:rPr>
          <w:rFonts w:ascii="Calibri" w:hAnsi="Calibri" w:eastAsia="PingFang SC"/>
          <w:i/>
          <w:sz w:val="14"/>
        </w:rPr>
        <w:t>BetterBench</w:t>
      </w:r>
      <w:r>
        <w:rPr>
          <w:rFonts w:ascii="Calibri" w:hAnsi="Calibri" w:eastAsia="PingFang SC"/>
          <w:sz w:val="14"/>
        </w:rPr>
        <w:t>. arXiv:2411.12990.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[9] Zeng et al. </w:t>
      </w:r>
      <w:r>
        <w:rPr>
          <w:rFonts w:ascii="Calibri" w:hAnsi="Calibri" w:eastAsia="PingFang SC"/>
          <w:i/>
          <w:sz w:val="14"/>
        </w:rPr>
        <w:t>Setoka</w:t>
      </w:r>
      <w:r>
        <w:rPr>
          <w:rFonts w:ascii="Calibri" w:hAnsi="Calibri" w:eastAsia="PingFang SC"/>
          <w:sz w:val="14"/>
        </w:rPr>
        <w:t>. arXiv:2607.27056.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[10] Qian et al. </w:t>
      </w:r>
      <w:r>
        <w:rPr>
          <w:rFonts w:ascii="Calibri" w:hAnsi="Calibri" w:eastAsia="PingFang SC"/>
          <w:i/>
          <w:sz w:val="14"/>
        </w:rPr>
        <w:t>User-Conditioned Evaluation under Temporal Interventions</w:t>
      </w:r>
      <w:r>
        <w:rPr>
          <w:rFonts w:ascii="Calibri" w:hAnsi="Calibri" w:eastAsia="PingFang SC"/>
          <w:sz w:val="14"/>
        </w:rPr>
        <w:t>. arXiv:2607.21635.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[11] Yang et al. </w:t>
      </w:r>
      <w:r>
        <w:rPr>
          <w:rFonts w:ascii="Calibri" w:hAnsi="Calibri" w:eastAsia="PingFang SC"/>
          <w:i/>
          <w:sz w:val="14"/>
        </w:rPr>
        <w:t>PersonaTrail</w:t>
      </w:r>
      <w:r>
        <w:rPr>
          <w:rFonts w:ascii="Calibri" w:hAnsi="Calibri" w:eastAsia="PingFang SC"/>
          <w:sz w:val="14"/>
        </w:rPr>
        <w:t>. arXiv:2607.20482.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[12] Todisco et al. </w:t>
      </w:r>
      <w:r>
        <w:rPr>
          <w:rFonts w:ascii="Calibri" w:hAnsi="Calibri" w:eastAsia="PingFang SC"/>
          <w:i/>
          <w:sz w:val="14"/>
        </w:rPr>
        <w:t>TARS</w:t>
      </w:r>
      <w:r>
        <w:rPr>
          <w:rFonts w:ascii="Calibri" w:hAnsi="Calibri" w:eastAsia="PingFang SC"/>
          <w:sz w:val="14"/>
        </w:rPr>
        <w:t>. arXiv:2607.15948.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[13] Yang. </w:t>
      </w:r>
      <w:r>
        <w:rPr>
          <w:rFonts w:ascii="Calibri" w:hAnsi="Calibri" w:eastAsia="PingFang SC"/>
          <w:i/>
          <w:sz w:val="14"/>
        </w:rPr>
        <w:t>SARSI Agents for Personal Singularity</w:t>
      </w:r>
      <w:r>
        <w:rPr>
          <w:rFonts w:ascii="Calibri" w:hAnsi="Calibri" w:eastAsia="PingFang SC"/>
          <w:sz w:val="14"/>
        </w:rPr>
        <w:t>. arXiv:2607.12254.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[14] Mao et al. </w:t>
      </w:r>
      <w:r>
        <w:rPr>
          <w:rFonts w:ascii="Calibri" w:hAnsi="Calibri" w:eastAsia="PingFang SC"/>
          <w:i/>
          <w:sz w:val="14"/>
        </w:rPr>
        <w:t>Agents Don't Just Agree, They Remember</w:t>
      </w:r>
      <w:r>
        <w:rPr>
          <w:rFonts w:ascii="Calibri" w:hAnsi="Calibri" w:eastAsia="PingFang SC"/>
          <w:sz w:val="14"/>
        </w:rPr>
        <w:t>. arXiv:2607.10526.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[15] Yang et al. </w:t>
      </w:r>
      <w:r>
        <w:rPr>
          <w:rFonts w:ascii="Calibri" w:hAnsi="Calibri" w:eastAsia="PingFang SC"/>
          <w:i/>
          <w:sz w:val="14"/>
        </w:rPr>
        <w:t>APeB</w:t>
      </w:r>
      <w:r>
        <w:rPr>
          <w:rFonts w:ascii="Calibri" w:hAnsi="Calibri" w:eastAsia="PingFang SC"/>
          <w:sz w:val="14"/>
        </w:rPr>
        <w:t>. arXiv:2607.03162.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[16] Hao et al. </w:t>
      </w:r>
      <w:r>
        <w:rPr>
          <w:rFonts w:ascii="Calibri" w:hAnsi="Calibri" w:eastAsia="PingFang SC"/>
          <w:i/>
          <w:sz w:val="14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4"/>
        </w:rPr>
        <w:t xml:space="preserve">. ACL, 2025.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https://aclanthology.org/2025.acl-long.1064/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[17] Li et al. </w:t>
      </w:r>
      <w:r>
        <w:rPr>
          <w:rFonts w:ascii="Calibri" w:hAnsi="Calibri" w:eastAsia="PingFang SC"/>
          <w:i/>
          <w:sz w:val="14"/>
        </w:rPr>
        <w:t>Personalized Deep Research: A User-Centric Framework, Dataset, and Hybrid Evaluation</w:t>
      </w:r>
      <w:r>
        <w:rPr>
          <w:rFonts w:ascii="Calibri" w:hAnsi="Calibri" w:eastAsia="PingFang SC"/>
          <w:sz w:val="14"/>
        </w:rPr>
        <w:t>. arXiv:2605.10530.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[18] Liang et al. </w:t>
      </w:r>
      <w:r>
        <w:rPr>
          <w:rFonts w:ascii="Calibri" w:hAnsi="Calibri" w:eastAsia="PingFang SC"/>
          <w:i/>
          <w:sz w:val="14"/>
        </w:rPr>
        <w:t>Learning Personalized Agents from Human Feedback</w:t>
      </w:r>
      <w:r>
        <w:rPr>
          <w:rFonts w:ascii="Calibri" w:hAnsi="Calibri" w:eastAsia="PingFang SC"/>
          <w:sz w:val="14"/>
        </w:rPr>
        <w:t>. arXiv:2602.16173.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[19] Shen et al. </w:t>
      </w:r>
      <w:r>
        <w:rPr>
          <w:rFonts w:ascii="Calibri" w:hAnsi="Calibri" w:eastAsia="PingFang SC"/>
          <w:i/>
          <w:sz w:val="14"/>
        </w:rPr>
        <w:t>Mem2ActBench</w:t>
      </w:r>
      <w:r>
        <w:rPr>
          <w:rFonts w:ascii="Calibri" w:hAnsi="Calibri" w:eastAsia="PingFang SC"/>
          <w:sz w:val="14"/>
        </w:rPr>
        <w:t xml:space="preserve">. ACL, 2026.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https://aclanthology.org/2026.acl-long.370/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[20] Balepur et al. </w:t>
      </w:r>
      <w:r>
        <w:rPr>
          <w:rFonts w:ascii="Calibri" w:hAnsi="Calibri" w:eastAsia="PingFang SC"/>
          <w:i/>
          <w:sz w:val="14"/>
        </w:rPr>
        <w:t>Language Models Don't Know What You Want</w:t>
      </w:r>
      <w:r>
        <w:rPr>
          <w:rFonts w:ascii="Calibri" w:hAnsi="Calibri" w:eastAsia="PingFang SC"/>
          <w:sz w:val="14"/>
        </w:rPr>
        <w:t xml:space="preserve">. ACL, 2026.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[21] Weeber et al. </w:t>
      </w:r>
      <w:r>
        <w:rPr>
          <w:rFonts w:ascii="Calibri" w:hAnsi="Calibri" w:eastAsia="PingFang SC"/>
          <w:i/>
          <w:sz w:val="14"/>
        </w:rPr>
        <w:t>One Persona, Many Cues, Different Results</w:t>
      </w:r>
      <w:r>
        <w:rPr>
          <w:rFonts w:ascii="Calibri" w:hAnsi="Calibri" w:eastAsia="PingFang SC"/>
          <w:sz w:val="14"/>
        </w:rPr>
        <w:t xml:space="preserve">. ACL, 2026. </w:t>
      </w:r>
      <w:hyperlink r:id="rId2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[22] Qiu et al. </w:t>
      </w:r>
      <w:r>
        <w:rPr>
          <w:rFonts w:ascii="Calibri" w:hAnsi="Calibri" w:eastAsia="PingFang SC"/>
          <w:i/>
          <w:sz w:val="14"/>
        </w:rPr>
        <w:t>Preference-Aware Rubric Learning for Personalized Evaluation</w:t>
      </w:r>
      <w:r>
        <w:rPr>
          <w:rFonts w:ascii="Calibri" w:hAnsi="Calibri" w:eastAsia="PingFang SC"/>
          <w:sz w:val="14"/>
        </w:rPr>
        <w:t xml:space="preserve">. arXiv:2605.31545, 2026. </w:t>
      </w:r>
      <w:hyperlink r:id="rId2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https://arxiv.org/abs/2605.31545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[23] ICLR. </w:t>
      </w:r>
      <w:r>
        <w:rPr>
          <w:rFonts w:ascii="Calibri" w:hAnsi="Calibri" w:eastAsia="PingFang SC"/>
          <w:i/>
          <w:sz w:val="14"/>
        </w:rPr>
        <w:t>ICLR 2024 Fact Sheet</w:t>
      </w:r>
      <w:r>
        <w:rPr>
          <w:rFonts w:ascii="Calibri" w:hAnsi="Calibri" w:eastAsia="PingFang SC"/>
          <w:sz w:val="14"/>
        </w:rPr>
        <w:t xml:space="preserve">. </w:t>
      </w:r>
      <w:hyperlink r:id="rId2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https://media.iclr.cc/Conferences/ICLR2024/ICLR2024-Fact_Sheet.pdf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[24] ICLR. </w:t>
      </w:r>
      <w:r>
        <w:rPr>
          <w:rFonts w:ascii="Calibri" w:hAnsi="Calibri" w:eastAsia="PingFang SC"/>
          <w:i/>
          <w:sz w:val="14"/>
        </w:rPr>
        <w:t>ICLR 2026 Fact Sheet</w:t>
      </w:r>
      <w:r>
        <w:rPr>
          <w:rFonts w:ascii="Calibri" w:hAnsi="Calibri" w:eastAsia="PingFang SC"/>
          <w:sz w:val="14"/>
        </w:rPr>
        <w:t xml:space="preserve">. </w:t>
      </w:r>
      <w:hyperlink r:id="rId2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https://media.iclr.cc/Conferences/ICLR2026/ICLR2026_Fact_Sheet.pdf</w:t>
        </w:r>
      </w:hyperlink>
    </w:p>
    <w:sectPr w:rsidR="00FC693F" w:rsidRPr="0006063C" w:rsidSect="00034616">
      <w:headerReference w:type="default" r:id="rId23"/>
      <w:footerReference w:type="default" r:id="rId24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2026-8-9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2026-8-9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2026-8-9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607.27056" TargetMode="External"/><Relationship Id="rId12" Type="http://schemas.openxmlformats.org/officeDocument/2006/relationships/hyperlink" Target="https://arxiv.org/abs/2607.20482" TargetMode="External"/><Relationship Id="rId13" Type="http://schemas.openxmlformats.org/officeDocument/2006/relationships/hyperlink" Target="https://arxiv.org/abs/2607.03162" TargetMode="External"/><Relationship Id="rId14" Type="http://schemas.openxmlformats.org/officeDocument/2006/relationships/hyperlink" Target="https://aclanthology.org/2025.acl-long.1064/" TargetMode="External"/><Relationship Id="rId15" Type="http://schemas.openxmlformats.org/officeDocument/2006/relationships/hyperlink" Target="https://aclanthology.org/2026.acl-long.370/" TargetMode="External"/><Relationship Id="rId16" Type="http://schemas.openxmlformats.org/officeDocument/2006/relationships/hyperlink" Target="https://arxiv.org/abs/2602.16173" TargetMode="External"/><Relationship Id="rId17" Type="http://schemas.openxmlformats.org/officeDocument/2006/relationships/hyperlink" Target="https://arxiv.org/abs/2509.25106" TargetMode="External"/><Relationship Id="rId18" Type="http://schemas.openxmlformats.org/officeDocument/2006/relationships/hyperlink" Target="https://arxiv.org/abs/2605.10530" TargetMode="External"/><Relationship Id="rId19" Type="http://schemas.openxmlformats.org/officeDocument/2006/relationships/hyperlink" Target="https://aclanthology.org/2026.acl-long.723/" TargetMode="External"/><Relationship Id="rId20" Type="http://schemas.openxmlformats.org/officeDocument/2006/relationships/header" Target="header2.xml"/><Relationship Id="rId21" Type="http://schemas.openxmlformats.org/officeDocument/2006/relationships/footer" Target="footer2.xml"/><Relationship Id="rId22" Type="http://schemas.openxmlformats.org/officeDocument/2006/relationships/image" Target="media/image1.png"/><Relationship Id="rId23" Type="http://schemas.openxmlformats.org/officeDocument/2006/relationships/header" Target="header3.xml"/><Relationship Id="rId24" Type="http://schemas.openxmlformats.org/officeDocument/2006/relationships/footer" Target="footer3.xml"/><Relationship Id="rId25" Type="http://schemas.openxmlformats.org/officeDocument/2006/relationships/hyperlink" Target="https://media.iclr.cc/Conferences/ICLR2024/ICLR2024-Fact_Sheet.pdf" TargetMode="External"/><Relationship Id="rId26" Type="http://schemas.openxmlformats.org/officeDocument/2006/relationships/hyperlink" Target="https://media.iclr.cc/Conferences/ICLR2026/ICLR2026_Fact_Sheet.pdf" TargetMode="External"/><Relationship Id="rId27" Type="http://schemas.openxmlformats.org/officeDocument/2006/relationships/hyperlink" Target="https://aclanthology.org/2026.acl-long.2079/" TargetMode="External"/><Relationship Id="rId28" Type="http://schemas.openxmlformats.org/officeDocument/2006/relationships/hyperlink" Target="https://arxiv.org/abs/2605.3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