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40" w:after="360"/>
        <w:jc w:val="center"/>
      </w:pPr>
      <w:r>
        <w:rPr>
          <w:rFonts w:ascii="Calibri" w:hAnsi="Calibri" w:eastAsia="PingFang SC"/>
          <w:b/>
          <w:color w:val="B68026"/>
          <w:sz w:val="22"/>
        </w:rPr>
        <w:t>PLAIN-LANGUAGE RESEARCH PROPOSAL</w:t>
      </w:r>
    </w:p>
    <w:p>
      <w:pPr>
        <w:spacing w:after="160"/>
        <w:jc w:val="center"/>
      </w:pPr>
      <w:r>
        <w:rPr>
          <w:rFonts w:ascii="Calibri" w:hAnsi="Calibri" w:eastAsia="PingFang SC"/>
          <w:b/>
          <w:color w:val="163A63"/>
          <w:sz w:val="60"/>
        </w:rPr>
        <w:t>DeepAlign-Bench｜完整人话版</w:t>
      </w:r>
    </w:p>
    <w:p>
      <w:pPr>
        <w:spacing w:after="360"/>
        <w:jc w:val="center"/>
      </w:pPr>
      <w:r>
        <w:rPr>
          <w:rFonts w:ascii="Calibri" w:hAnsi="Calibri" w:eastAsia="PingFang SC"/>
          <w:color w:val="2E74B5"/>
          <w:sz w:val="34"/>
        </w:rPr>
        <w:t>把两阶段方法、假设与实验逐步说清楚</w:t>
      </w:r>
    </w:p>
    <w:p>
      <w:pPr>
        <w:spacing w:after="520"/>
        <w:jc w:val="center"/>
        <w:pBdr>
          <w:bottom w:val="single" w:sz="8" w:space="8" w:color="7A9BB7"/>
        </w:pBdr>
      </w:pPr>
      <w:r>
        <w:rPr>
          <w:rFonts w:ascii="Calibri" w:hAnsi="Calibri" w:eastAsia="PingFang SC"/>
          <w:b/>
          <w:color w:val="5B6B7A"/>
          <w:sz w:val="21"/>
        </w:rPr>
        <w:t>适合组内共识 · 导师讨论 · 正式写作前校验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40"/>
              <w:jc w:val="center"/>
            </w:pPr>
            <w:r/>
            <w:r>
              <w:rPr>
                <w:rFonts w:ascii="Calibri" w:hAnsi="Calibri" w:eastAsia="PingFang SC"/>
                <w:b/>
                <w:color w:val="163A63"/>
                <w:sz w:val="21"/>
              </w:rPr>
              <w:t>文档版本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40"/>
              <w:jc w:val="center"/>
            </w:pPr>
            <w:r/>
            <w:r>
              <w:rPr>
                <w:rFonts w:ascii="Calibri" w:hAnsi="Calibri" w:eastAsia="PingFang SC"/>
                <w:b w:val="0"/>
                <w:color w:val="5B6B7A"/>
                <w:sz w:val="21"/>
              </w:rPr>
              <w:t>v0.33 · 完整人话版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Calibri" w:hAnsi="Calibri" w:eastAsia="PingFang SC"/>
                <w:b/>
                <w:color w:val="163A63"/>
                <w:sz w:val="21"/>
              </w:rPr>
              <w:t>日期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Calibri" w:hAnsi="Calibri" w:eastAsia="PingFang SC"/>
                <w:b w:val="0"/>
                <w:color w:val="5B6B7A"/>
                <w:sz w:val="21"/>
              </w:rPr>
              <w:t>2026 年 8 月 9 日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40"/>
              <w:jc w:val="center"/>
            </w:pPr>
            <w:r/>
            <w:r>
              <w:rPr>
                <w:rFonts w:ascii="Calibri" w:hAnsi="Calibri" w:eastAsia="PingFang SC"/>
                <w:b/>
                <w:color w:val="163A63"/>
                <w:sz w:val="21"/>
              </w:rPr>
              <w:t>研究主线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40"/>
              <w:jc w:val="center"/>
            </w:pPr>
            <w:r/>
            <w:r>
              <w:rPr>
                <w:rFonts w:ascii="Calibri" w:hAnsi="Calibri" w:eastAsia="PingFang SC"/>
                <w:b w:val="0"/>
                <w:color w:val="5B6B7A"/>
                <w:sz w:val="21"/>
              </w:rPr>
              <w:t>为什么测 · 测什么 · 怎么测 · 如何判分 · 能声称什么</w:t>
            </w:r>
          </w:p>
        </w:tc>
      </w:tr>
    </w:tbl>
    <w:p>
      <w:pPr>
        <w:spacing w:before="520" w:after="160"/>
        <w:jc w:val="center"/>
      </w:pPr>
      <w:r>
        <w:rPr>
          <w:rFonts w:ascii="Calibri" w:hAnsi="Calibri" w:eastAsia="PingFang SC"/>
          <w:b/>
          <w:color w:val="2E74B5"/>
          <w:sz w:val="22"/>
        </w:rPr>
        <w:t>核心命题</w:t>
      </w:r>
    </w:p>
    <w:p>
      <w:pPr>
        <w:spacing w:after="0"/>
        <w:ind w:left="720" w:right="720"/>
        <w:jc w:val="center"/>
      </w:pPr>
      <w:r>
        <w:rPr>
          <w:rFonts w:ascii="Calibri" w:hAnsi="Calibri" w:eastAsia="PingFang SC"/>
          <w:b/>
          <w:color w:val="163A63"/>
          <w:sz w:val="24"/>
        </w:rPr>
        <w:t>报告更像为你写还不够；只有共同质量过门且真实用户的决策 regret 下降，才算有下游价值。</w:t>
      </w:r>
    </w:p>
    <w:p>
      <w:r>
        <w:br w:type="page"/>
      </w:r>
    </w:p>
    <w:p>
      <w:pPr>
        <w:pStyle w:val="Heading1"/>
        <w:spacing w:before="0"/>
      </w:pPr>
      <w:r>
        <w:t>内容导航</w:t>
      </w:r>
    </w:p>
    <w:p>
      <w:pPr>
        <w:numPr>
          <w:ilvl w:val="0"/>
          <w:numId w:val="10"/>
        </w:numPr>
        <w:spacing w:after="100" w:line="290" w:lineRule="auto"/>
        <w:ind w:left="540" w:hanging="279"/>
      </w:pPr>
      <w:r>
        <w:rPr>
          <w:rFonts w:ascii="Calibri" w:hAnsi="Calibri" w:eastAsia="PingFang SC"/>
        </w:rPr>
        <w:t>为什么现有评测不够</w:t>
      </w:r>
    </w:p>
    <w:p>
      <w:pPr>
        <w:numPr>
          <w:ilvl w:val="0"/>
          <w:numId w:val="10"/>
        </w:numPr>
        <w:spacing w:after="100" w:line="290" w:lineRule="auto"/>
        <w:ind w:left="540" w:hanging="279"/>
      </w:pPr>
      <w:r>
        <w:rPr>
          <w:rFonts w:ascii="Calibri" w:hAnsi="Calibri" w:eastAsia="PingFang SC"/>
        </w:rPr>
        <w:t>Case、Task 与 Persona 怎么构建</w:t>
      </w:r>
    </w:p>
    <w:p>
      <w:pPr>
        <w:numPr>
          <w:ilvl w:val="0"/>
          <w:numId w:val="10"/>
        </w:numPr>
        <w:spacing w:after="100" w:line="290" w:lineRule="auto"/>
        <w:ind w:left="540" w:hanging="279"/>
      </w:pPr>
      <w:r>
        <w:rPr>
          <w:rFonts w:ascii="Calibri" w:hAnsi="Calibri" w:eastAsia="PingFang SC"/>
        </w:rPr>
        <w:t>实验如何运行</w:t>
      </w:r>
    </w:p>
    <w:p>
      <w:pPr>
        <w:numPr>
          <w:ilvl w:val="0"/>
          <w:numId w:val="10"/>
        </w:numPr>
        <w:spacing w:after="100" w:line="290" w:lineRule="auto"/>
        <w:ind w:left="540" w:hanging="279"/>
      </w:pPr>
      <w:r>
        <w:rPr>
          <w:rFonts w:ascii="Calibri" w:hAnsi="Calibri" w:eastAsia="PingFang SC"/>
        </w:rPr>
        <w:t>最终交付物与过程怎么分工</w:t>
      </w:r>
    </w:p>
    <w:p>
      <w:pPr>
        <w:numPr>
          <w:ilvl w:val="0"/>
          <w:numId w:val="10"/>
        </w:numPr>
        <w:spacing w:after="100" w:line="290" w:lineRule="auto"/>
        <w:ind w:left="540" w:hanging="279"/>
      </w:pPr>
      <w:r>
        <w:rPr>
          <w:rFonts w:ascii="Calibri" w:hAnsi="Calibri" w:eastAsia="PingFang SC"/>
        </w:rPr>
        <w:t>Rubric、Metrics 与 Judge</w:t>
      </w:r>
    </w:p>
    <w:p>
      <w:pPr>
        <w:numPr>
          <w:ilvl w:val="0"/>
          <w:numId w:val="10"/>
        </w:numPr>
        <w:spacing w:after="100" w:line="290" w:lineRule="auto"/>
        <w:ind w:left="540" w:hanging="279"/>
      </w:pPr>
      <w:r>
        <w:rPr>
          <w:rFonts w:ascii="Calibri" w:hAnsi="Calibri" w:eastAsia="PingFang SC"/>
        </w:rPr>
        <w:t>失败分类</w:t>
      </w:r>
    </w:p>
    <w:p>
      <w:pPr>
        <w:numPr>
          <w:ilvl w:val="0"/>
          <w:numId w:val="10"/>
        </w:numPr>
        <w:spacing w:after="100" w:line="290" w:lineRule="auto"/>
        <w:ind w:left="540" w:hanging="279"/>
      </w:pPr>
      <w:r>
        <w:rPr>
          <w:rFonts w:ascii="Calibri" w:hAnsi="Calibri" w:eastAsia="PingFang SC"/>
        </w:rPr>
        <w:t>两个月执行计划</w:t>
      </w:r>
    </w:p>
    <w:p>
      <w:pPr>
        <w:numPr>
          <w:ilvl w:val="0"/>
          <w:numId w:val="10"/>
        </w:numPr>
        <w:spacing w:after="100" w:line="290" w:lineRule="auto"/>
        <w:ind w:left="540" w:hanging="279"/>
      </w:pPr>
      <w:r>
        <w:rPr>
          <w:rFonts w:ascii="Calibri" w:hAnsi="Calibri" w:eastAsia="PingFang SC"/>
        </w:rPr>
        <w:t>顶会评审问题与论文主张边界</w:t>
      </w:r>
    </w:p>
    <w:p>
      <w:pPr>
        <w:numPr>
          <w:ilvl w:val="0"/>
          <w:numId w:val="10"/>
        </w:numPr>
        <w:spacing w:after="100" w:line="290" w:lineRule="auto"/>
        <w:ind w:left="540" w:hanging="279"/>
      </w:pPr>
      <w:r>
        <w:rPr>
          <w:rFonts w:ascii="Calibri" w:hAnsi="Calibri" w:eastAsia="PingFang SC"/>
        </w:rPr>
        <w:t>参考文献</w:t>
      </w:r>
    </w:p>
    <w:p>
      <w:pPr>
        <w:spacing w:before="240" w:after="0"/>
      </w:pPr>
      <w:r>
        <w:rPr>
          <w:rFonts w:ascii="Calibri" w:hAnsi="Calibri" w:eastAsia="PingFang SC"/>
          <w:i/>
          <w:color w:val="5B6B7A"/>
          <w:sz w:val="21"/>
        </w:rPr>
        <w:t>阅读方式：先看主图和研究概要；需要执行细节时看第 4–11 节；需要审稿防守时看第 12–13 节。</w:t>
      </w:r>
    </w:p>
    <w:p>
      <w:r>
        <w:br w:type="page"/>
      </w:r>
    </w:p>
    <w:p>
      <w:pPr>
        <w:pStyle w:val="Heading1"/>
      </w:pPr>
      <w:r>
        <w:t>研究概要</w:t>
      </w:r>
    </w:p>
    <w:p>
      <w:pPr>
        <w:pStyle w:val="Heading2"/>
      </w:pPr>
      <w:r>
        <w:t>一句话说明</w:t>
      </w:r>
    </w:p>
    <w:p>
      <w:r>
        <w:rPr>
          <w:rFonts w:ascii="Calibri" w:hAnsi="Calibri" w:eastAsia="PingFang SC"/>
        </w:rPr>
        <w:t>我们要测的不是 Deep Research agent 能不能写出一份“看起来很懂你”的报告，而是：</w:t>
      </w:r>
      <w:r>
        <w:rPr>
          <w:rFonts w:ascii="Calibri" w:hAnsi="Calibri" w:eastAsia="PingFang SC"/>
          <w:b/>
        </w:rPr>
        <w:t>在报告同样正确、证据同样充分的前提下，个性化版本是否真的让目标用户做出更好的决定。</w:t>
      </w:r>
    </w:p>
    <w:p>
      <w:r>
        <w:rPr>
          <w:rFonts w:ascii="Calibri" w:hAnsi="Calibri" w:eastAsia="PingFang SC"/>
        </w:rPr>
        <w:t>例如，两个人都问“我应该选哪一个硕士项目”。学校信息完全相同，但一个人预算紧、希望尽快就业，另一个人准备读博、重视科研训练。旧方案主要检查两份报告是否分别贴合两人；新方案还要让真实用户在看报告前后做选择，检查 matched 报告是否降低可验证的决策 regret，wrong-user 报告是否反而造成伤害。</w:t>
      </w:r>
    </w:p>
    <w:p>
      <w:pPr>
        <w:pStyle w:val="Heading2"/>
      </w:pPr>
      <w:r>
        <w:t>我们真正要回答的五个问题</w:t>
      </w:r>
    </w:p>
    <w:p>
      <w:pPr>
        <w:numPr>
          <w:ilvl w:val="0"/>
          <w:numId w:val="11"/>
        </w:numPr>
        <w:spacing w:after="80" w:line="290" w:lineRule="auto"/>
        <w:ind w:left="540" w:hanging="279"/>
      </w:pPr>
      <w:r>
        <w:rPr>
          <w:rFonts w:ascii="Calibri" w:hAnsi="Calibri" w:eastAsia="PingFang SC"/>
        </w:rPr>
        <w:t>matched 个性化报告相对 task-only 报告，是否让真实用户的决定更接近预冻结 utility 下的最优可接受决定？</w:t>
      </w:r>
    </w:p>
    <w:p>
      <w:pPr>
        <w:numPr>
          <w:ilvl w:val="0"/>
          <w:numId w:val="11"/>
        </w:numPr>
        <w:spacing w:after="80" w:line="290" w:lineRule="auto"/>
        <w:ind w:left="540" w:hanging="279"/>
      </w:pPr>
      <w:r>
        <w:rPr>
          <w:rFonts w:ascii="Calibri" w:hAnsi="Calibri" w:eastAsia="PingFang SC"/>
        </w:rPr>
        <w:t>swapped/wrong-user 报告是否比 task-only 更容易导致 regret、硬约束违规或错误自信？</w:t>
      </w:r>
    </w:p>
    <w:p>
      <w:pPr>
        <w:numPr>
          <w:ilvl w:val="0"/>
          <w:numId w:val="11"/>
        </w:numPr>
        <w:spacing w:after="80" w:line="290" w:lineRule="auto"/>
        <w:ind w:left="540" w:hanging="279"/>
      </w:pPr>
      <w:r>
        <w:rPr>
          <w:rFonts w:ascii="Calibri" w:hAnsi="Calibri" w:eastAsia="PingFang SC"/>
        </w:rPr>
        <w:t>报告的 PF/CFA 变高时，真实决策收益是否也变高，还是只是“看起来更贴合”？</w:t>
      </w:r>
    </w:p>
    <w:p>
      <w:pPr>
        <w:numPr>
          <w:ilvl w:val="0"/>
          <w:numId w:val="11"/>
        </w:numPr>
        <w:spacing w:after="80" w:line="290" w:lineRule="auto"/>
        <w:ind w:left="540" w:hanging="279"/>
      </w:pPr>
      <w:r>
        <w:rPr>
          <w:rFonts w:ascii="Calibri" w:hAnsi="Calibri" w:eastAsia="PingFang SC"/>
        </w:rPr>
        <w:t>哪类任务、用户和 agent 的个性化最可能转化为真实收益？</w:t>
      </w:r>
    </w:p>
    <w:p>
      <w:pPr>
        <w:numPr>
          <w:ilvl w:val="0"/>
          <w:numId w:val="11"/>
        </w:numPr>
        <w:spacing w:after="80" w:line="290" w:lineRule="auto"/>
        <w:ind w:left="540" w:hanging="279"/>
      </w:pPr>
      <w:r>
        <w:rPr>
          <w:rFonts w:ascii="Calibri" w:hAnsi="Calibri" w:eastAsia="PingFang SC"/>
        </w:rPr>
        <w:t>报告共同质量、顺序效应、任务难度和用户猜测实验条件是否会混淆结论？</w:t>
      </w:r>
    </w:p>
    <w:p>
      <w:pPr>
        <w:pStyle w:val="Heading2"/>
      </w:pPr>
      <w:r>
        <w:t>两个月内要完成什么</w:t>
      </w:r>
    </w:p>
    <w:p>
      <w:r>
        <w:rPr>
          <w:rFonts w:ascii="Calibri" w:hAnsi="Calibri" w:eastAsia="PingFang SC"/>
        </w:rPr>
        <w:t>先做 3 个从报告生成到真人决定的完整 vertical slice。只有 utility 能预先冻结、等价 task shell 可交换、三类报告质量能配平、盲化可行，才扩到 8–12 个决策 family。预计约 36–48 名真实目标用户和 2–3 条报告生成管线，但最终样本量由 pilot 后的功效模拟冻结。原有 24-family 方案不再是首轮硬承诺；长程、动态、权限和证据污染只做少量压力层。</w:t>
      </w:r>
    </w:p>
    <w:p>
      <w:pPr>
        <w:sectPr>
          <w:headerReference w:type="default" r:id="rId9"/>
          <w:footerReference w:type="default" r:id="rId10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spacing w:after="160"/>
        <w:jc w:val="center"/>
      </w:pPr>
      <w:r>
        <w:rPr>
          <w:rFonts w:ascii="Calibri" w:hAnsi="Calibri" w:eastAsia="PingFang SC"/>
          <w:b/>
          <w:color w:val="163A63"/>
          <w:sz w:val="34"/>
        </w:rPr>
        <w:t>研究流程：从用户信息到可信的个性化评测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8732520" cy="4912042"/>
            <wp:docPr id="1" name="Picture 1" descr="DeepAlign-Bench 研究流程：从五平面元数据、反事实任务族和跨 agent 运行，到 rubric compiler、分层 judge 与人评校准。" title="DeepAlign-Bench 研究设计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epAlign-Bench_主图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732520" cy="49120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Calibri" w:hAnsi="Calibri" w:eastAsia="PingFang SC"/>
          <w:i/>
          <w:color w:val="5B6B7A"/>
          <w:sz w:val="19"/>
        </w:rPr>
        <w:t>图 1  方法与正式 Proposal 一致：先检查报告，再随机呈现给真实用户，最后验证决定。</w:t>
      </w:r>
    </w:p>
    <w:p>
      <w:pPr>
        <w:sectPr>
          <w:headerReference w:type="default" r:id="rId11"/>
          <w:footerReference w:type="default" r:id="rId12"/>
          <w:pgSz w:w="15840" w:h="12240" w:orient="landscape"/>
          <w:pgMar w:top="936" w:right="936" w:bottom="936" w:left="936" w:header="708" w:footer="708" w:gutter="0"/>
          <w:cols w:space="720"/>
          <w:docGrid w:linePitch="360"/>
        </w:sectPr>
      </w:pPr>
    </w:p>
    <w:p>
      <w:pPr>
        <w:pStyle w:val="Heading1"/>
      </w:pPr>
      <w:r>
        <w:t>1. 为什么现有评测不够</w:t>
      </w:r>
    </w:p>
    <w:p>
      <w:pPr>
        <w:pStyle w:val="Heading2"/>
      </w:pPr>
      <w:r>
        <w:t>1.1 研究问题是怎样一步步收敛的</w:t>
      </w:r>
    </w:p>
    <w:p>
      <w:r>
        <w:rPr>
          <w:rFonts w:ascii="Calibri" w:hAnsi="Calibri" w:eastAsia="PingFang SC"/>
        </w:rPr>
        <w:t>第一步，Deep Research benchmark 先回答“报告一般好不好”：任务有没有完成、事实和引用是否可靠、分析是否完整。这是所有个性化结果都必须先过的底线，但它没有说明同一份报告更适合哪一个用户。</w:t>
      </w:r>
    </w:p>
    <w:p>
      <w:r>
        <w:rPr>
          <w:rFonts w:ascii="Calibri" w:hAnsi="Calibri" w:eastAsia="PingFang SC"/>
        </w:rPr>
        <w:t>第二步，个性化研究开始回答“agent 是否理解了用户”。LaMP 用用户历史评测个性化生成，PersonaLens 在任务型对话里同时看偏好、任务成功和回复质量，PersonaMem 要求模型跟踪会变化的用户画像。</w:t>
      </w:r>
      <w:hyperlink r:id="rId16">
        <w:r>
          <w:rPr>
            <w:rFonts w:ascii="Calibri" w:hAnsi="Calibri" w:eastAsia="PingFang SC"/>
            <w:color w:val="2E74B5"/>
            <w:u w:val="single"/>
          </w:rPr>
          <w:t>[20]</w:t>
        </w:r>
      </w:hyperlink>
      <w:hyperlink r:id="rId17">
        <w:r>
          <w:rPr>
            <w:rFonts w:ascii="Calibri" w:hAnsi="Calibri" w:eastAsia="PingFang SC"/>
            <w:color w:val="2E74B5"/>
            <w:u w:val="single"/>
          </w:rPr>
          <w:t>[22]</w:t>
        </w:r>
      </w:hyperlink>
      <w:hyperlink r:id="rId18">
        <w:r>
          <w:rPr>
            <w:rFonts w:ascii="Calibri" w:hAnsi="Calibri" w:eastAsia="PingFang SC"/>
            <w:color w:val="2E74B5"/>
            <w:u w:val="single"/>
          </w:rPr>
          <w:t>[23]</w:t>
        </w:r>
      </w:hyperlink>
      <w:r>
        <w:rPr>
          <w:rFonts w:ascii="Calibri" w:hAnsi="Calibri" w:eastAsia="PingFang SC"/>
        </w:rPr>
        <w:t xml:space="preserve"> Setoka、PersonaTrail 和 APeB 又把信号扩展到异构记录、浏览轨迹和商品行为。</w:t>
      </w:r>
      <w:hyperlink r:id="rId19">
        <w:r>
          <w:rPr>
            <w:rFonts w:ascii="Calibri" w:hAnsi="Calibri" w:eastAsia="PingFang SC"/>
            <w:color w:val="2E74B5"/>
            <w:u w:val="single"/>
          </w:rPr>
          <w:t>[13]</w:t>
        </w:r>
      </w:hyperlink>
      <w:hyperlink r:id="rId20">
        <w:r>
          <w:rPr>
            <w:rFonts w:ascii="Calibri" w:hAnsi="Calibri" w:eastAsia="PingFang SC"/>
            <w:color w:val="2E74B5"/>
            <w:u w:val="single"/>
          </w:rPr>
          <w:t>[15]</w:t>
        </w:r>
      </w:hyperlink>
      <w:hyperlink r:id="rId21">
        <w:r>
          <w:rPr>
            <w:rFonts w:ascii="Calibri" w:hAnsi="Calibri" w:eastAsia="PingFang SC"/>
            <w:color w:val="2E74B5"/>
            <w:u w:val="single"/>
          </w:rPr>
          <w:t>[19]</w:t>
        </w:r>
      </w:hyperlink>
      <w:r>
        <w:rPr>
          <w:rFonts w:ascii="Calibri" w:hAnsi="Calibri" w:eastAsia="PingFang SC"/>
        </w:rPr>
        <w:t xml:space="preserve"> 所以“用户理解和历史利用没人测”已经说不通；这些工作大多停在响应选择、记忆问答或单域意图。</w:t>
      </w:r>
    </w:p>
    <w:p>
      <w:r>
        <w:rPr>
          <w:rFonts w:ascii="Calibri" w:hAnsi="Calibri" w:eastAsia="PingFang SC"/>
        </w:rPr>
        <w:t>第三步，研究已经开始回答“理解之后有没有真的行动”。TravelPlanner+ 让用户模型改变旅行计划，ETAPP 和 ToolSpectrum 让画像与环境改变工具选择，Mem2ActBench 与 APOLLO 检查长期偏好能否落实到工具和参数。</w:t>
      </w:r>
      <w:hyperlink r:id="rId22">
        <w:r>
          <w:rPr>
            <w:rFonts w:ascii="Calibri" w:hAnsi="Calibri" w:eastAsia="PingFang SC"/>
            <w:color w:val="2E74B5"/>
            <w:u w:val="single"/>
          </w:rPr>
          <w:t>[21]</w:t>
        </w:r>
      </w:hyperlink>
      <w:hyperlink r:id="rId23">
        <w:r>
          <w:rPr>
            <w:rFonts w:ascii="Calibri" w:hAnsi="Calibri" w:eastAsia="PingFang SC"/>
            <w:color w:val="2E74B5"/>
            <w:u w:val="single"/>
          </w:rPr>
          <w:t>[24]</w:t>
        </w:r>
      </w:hyperlink>
      <w:hyperlink r:id="rId24">
        <w:r>
          <w:rPr>
            <w:rFonts w:ascii="Calibri" w:hAnsi="Calibri" w:eastAsia="PingFang SC"/>
            <w:color w:val="2E74B5"/>
            <w:u w:val="single"/>
          </w:rPr>
          <w:t>[25]</w:t>
        </w:r>
      </w:hyperlink>
      <w:hyperlink r:id="rId25">
        <w:r>
          <w:rPr>
            <w:rFonts w:ascii="Calibri" w:hAnsi="Calibri" w:eastAsia="PingFang SC"/>
            <w:color w:val="2E74B5"/>
            <w:u w:val="single"/>
          </w:rPr>
          <w:t>[35]</w:t>
        </w:r>
      </w:hyperlink>
      <w:hyperlink r:id="rId26">
        <w:r>
          <w:rPr>
            <w:rFonts w:ascii="Calibri" w:hAnsi="Calibri" w:eastAsia="PingFang SC"/>
            <w:color w:val="2E74B5"/>
            <w:u w:val="single"/>
          </w:rPr>
          <w:t>[36]</w:t>
        </w:r>
      </w:hyperlink>
      <w:r>
        <w:rPr>
          <w:rFonts w:ascii="Calibri" w:hAnsi="Calibri" w:eastAsia="PingFang SC"/>
        </w:rPr>
        <w:t xml:space="preserve"> TARS 还直接测了用户时间和认知负担。</w:t>
      </w:r>
      <w:hyperlink r:id="rId27">
        <w:r>
          <w:rPr>
            <w:rFonts w:ascii="Calibri" w:hAnsi="Calibri" w:eastAsia="PingFang SC"/>
            <w:color w:val="2E74B5"/>
            <w:u w:val="single"/>
          </w:rPr>
          <w:t>[16]</w:t>
        </w:r>
      </w:hyperlink>
      <w:r>
        <w:rPr>
          <w:rFonts w:ascii="Calibri" w:hAnsi="Calibri" w:eastAsia="PingFang SC"/>
        </w:rPr>
        <w:t xml:space="preserve"> 因此，“个性化行动无人评测”同样不是我们的 gap；这些任务多是单域计划或离散工具/GUI 动作，和开放式、多证据的 DR 最终交付物仍不同。</w:t>
      </w:r>
    </w:p>
    <w:p>
      <w:r>
        <w:rPr>
          <w:rFonts w:ascii="Calibri" w:hAnsi="Calibri" w:eastAsia="PingFang SC"/>
        </w:rPr>
        <w:t>第四步，研究把时间和风险也纳入进来。RPEval 测无关记忆会不会导致不理性个性化，PAHF 用澄清、记忆和反馈适应偏好变化，PerMemBench 问“哪些信息值得为这个用户写入”，Memora 与 CloneMem 测过期事实和多年数字轨迹。</w:t>
      </w:r>
      <w:hyperlink r:id="rId28">
        <w:r>
          <w:rPr>
            <w:rFonts w:ascii="Calibri" w:hAnsi="Calibri" w:eastAsia="PingFang SC"/>
            <w:color w:val="2E74B5"/>
            <w:u w:val="single"/>
          </w:rPr>
          <w:t>[30]</w:t>
        </w:r>
      </w:hyperlink>
      <w:hyperlink r:id="rId29">
        <w:r>
          <w:rPr>
            <w:rFonts w:ascii="Calibri" w:hAnsi="Calibri" w:eastAsia="PingFang SC"/>
            <w:color w:val="2E74B5"/>
            <w:u w:val="single"/>
          </w:rPr>
          <w:t>[31]</w:t>
        </w:r>
      </w:hyperlink>
      <w:hyperlink r:id="rId30">
        <w:r>
          <w:rPr>
            <w:rFonts w:ascii="Calibri" w:hAnsi="Calibri" w:eastAsia="PingFang SC"/>
            <w:color w:val="2E74B5"/>
            <w:u w:val="single"/>
          </w:rPr>
          <w:t>[32]</w:t>
        </w:r>
      </w:hyperlink>
      <w:hyperlink r:id="rId31">
        <w:r>
          <w:rPr>
            <w:rFonts w:ascii="Calibri" w:hAnsi="Calibri" w:eastAsia="PingFang SC"/>
            <w:color w:val="2E74B5"/>
            <w:u w:val="single"/>
          </w:rPr>
          <w:t>[33]</w:t>
        </w:r>
      </w:hyperlink>
      <w:hyperlink r:id="rId32">
        <w:r>
          <w:rPr>
            <w:rFonts w:ascii="Calibri" w:hAnsi="Calibri" w:eastAsia="PingFang SC"/>
            <w:color w:val="2E74B5"/>
            <w:u w:val="single"/>
          </w:rPr>
          <w:t>[34]</w:t>
        </w:r>
      </w:hyperlink>
      <w:r>
        <w:rPr>
          <w:rFonts w:ascii="Calibri" w:hAnsi="Calibri" w:eastAsia="PingFang SC"/>
        </w:rPr>
        <w:t xml:space="preserve"> PASB 和 PS-Bench 又说明，持久记忆不仅可能过期，还可能把迎合或危险意图长期合理化。</w:t>
      </w:r>
      <w:hyperlink r:id="rId33">
        <w:r>
          <w:rPr>
            <w:rFonts w:ascii="Calibri" w:hAnsi="Calibri" w:eastAsia="PingFang SC"/>
            <w:color w:val="2E74B5"/>
            <w:u w:val="single"/>
          </w:rPr>
          <w:t>[18]</w:t>
        </w:r>
      </w:hyperlink>
      <w:hyperlink r:id="rId34">
        <w:r>
          <w:rPr>
            <w:rFonts w:ascii="Calibri" w:hAnsi="Calibri" w:eastAsia="PingFang SC"/>
            <w:color w:val="2E74B5"/>
            <w:u w:val="single"/>
          </w:rPr>
          <w:t>[39]</w:t>
        </w:r>
      </w:hyperlink>
      <w:r>
        <w:rPr>
          <w:rFonts w:ascii="Calibri" w:hAnsi="Calibri" w:eastAsia="PingFang SC"/>
        </w:rPr>
        <w:t xml:space="preserve"> 这要求我们的 irrelevant、stale、write、update 和 must-not 测试成为正式实验，而不是几个演示案例。</w:t>
      </w:r>
    </w:p>
    <w:p>
      <w:r>
        <w:rPr>
          <w:rFonts w:ascii="Calibri" w:hAnsi="Calibri" w:eastAsia="PingFang SC"/>
        </w:rPr>
        <w:t>最后，PDR-Bench 与另一项 PDR 工作已经直接研究 persona 驱动的 Deep Research；</w:t>
      </w:r>
      <w:hyperlink r:id="rId35">
        <w:r>
          <w:rPr>
            <w:rFonts w:ascii="Calibri" w:hAnsi="Calibri" w:eastAsia="PingFang SC"/>
            <w:color w:val="2E74B5"/>
            <w:u w:val="single"/>
          </w:rPr>
          <w:t>[4]</w:t>
        </w:r>
      </w:hyperlink>
      <w:hyperlink r:id="rId36">
        <w:r>
          <w:rPr>
            <w:rFonts w:ascii="Calibri" w:hAnsi="Calibri" w:eastAsia="PingFang SC"/>
            <w:color w:val="2E74B5"/>
            <w:u w:val="single"/>
          </w:rPr>
          <w:t>[27]</w:t>
        </w:r>
      </w:hyperlink>
      <w:r>
        <w:rPr>
          <w:rFonts w:ascii="Calibri" w:hAnsi="Calibri" w:eastAsia="PingFang SC"/>
        </w:rPr>
        <w:t xml:space="preserve"> MyScholarQA 还发现，合成用户和 LLM judge 会漏掉真人指出的九类细微个性化错误。</w:t>
      </w:r>
      <w:hyperlink r:id="rId37">
        <w:r>
          <w:rPr>
            <w:rFonts w:ascii="Calibri" w:hAnsi="Calibri" w:eastAsia="PingFang SC"/>
            <w:color w:val="2E74B5"/>
            <w:u w:val="single"/>
          </w:rPr>
          <w:t>[28]</w:t>
        </w:r>
      </w:hyperlink>
      <w:r>
        <w:rPr>
          <w:rFonts w:ascii="Calibri" w:hAnsi="Calibri" w:eastAsia="PingFang SC"/>
        </w:rPr>
        <w:t xml:space="preserve"> PDR-Bench 会根据 task 和 persona 生成 P-Score 的权重与子标准，再评价目标、内容、呈现和可行动性；它已经能表达“给定这个 task 和 persona，这份报告有多适合该用户”这一 absolute adaptation 问题。</w:t>
      </w:r>
    </w:p>
    <w:p>
      <w:r>
        <w:rPr>
          <w:rFonts w:ascii="Calibri" w:hAnsi="Calibri" w:eastAsia="PingFang SC"/>
        </w:rPr>
        <w:t>DeepAlign v0.31 已把问题换成：</w:t>
      </w:r>
      <w:r>
        <w:rPr>
          <w:rFonts w:ascii="Calibri" w:hAnsi="Calibri" w:eastAsia="PingFang SC"/>
          <w:b/>
        </w:rPr>
        <w:t>同一任务和证据换一个用户后，两份报告是否各自更适合自己的用户？</w:t>
      </w:r>
      <w:r>
        <w:rPr>
          <w:rFonts w:ascii="Calibri" w:hAnsi="Calibri" w:eastAsia="PingFang SC"/>
        </w:rPr>
        <w:t xml:space="preserve"> 但这仍是报告层的 fit。v0.32 再向下游走一步：把 task-only、matched、swapped 报告作为处理，观察真实用户最终决定的 regret、硬约束、置信度和时间。PDR-Bench 问“报告是否适合你”；DeepAlign-Bench 问“报告是否让你决定得更好”。</w:t>
      </w:r>
    </w:p>
    <w:p>
      <w:r>
        <w:rPr>
          <w:rFonts w:ascii="Calibri" w:hAnsi="Calibri" w:eastAsia="PingFang SC"/>
        </w:rPr>
        <w:t>仅仅看到两份输出不同还不够。</w:t>
      </w:r>
      <w:r>
        <w:rPr>
          <w:rFonts w:ascii="Courier New" w:hAnsi="Courier New" w:eastAsia="PingFang SC"/>
          <w:color w:val="6A3E00"/>
          <w:sz w:val="20"/>
        </w:rPr>
        <w:t>must-change</w:t>
      </w:r>
      <w:r>
        <w:rPr>
          <w:rFonts w:ascii="Calibri" w:hAnsi="Calibri" w:eastAsia="PingFang SC"/>
        </w:rPr>
        <w:t xml:space="preserve"> 规定哪些决策必须随用户改变；</w:t>
      </w:r>
      <w:r>
        <w:rPr>
          <w:rFonts w:ascii="Courier New" w:hAnsi="Courier New" w:eastAsia="PingFang SC"/>
          <w:color w:val="6A3E00"/>
          <w:sz w:val="20"/>
        </w:rPr>
        <w:t>must-hold</w:t>
      </w:r>
      <w:r>
        <w:rPr>
          <w:rFonts w:ascii="Calibri" w:hAnsi="Calibri" w:eastAsia="PingFang SC"/>
        </w:rPr>
        <w:t xml:space="preserve"> 规定哪些事实、证据和共同质量不能改变；</w:t>
      </w:r>
      <w:r>
        <w:rPr>
          <w:rFonts w:ascii="Courier New" w:hAnsi="Courier New" w:eastAsia="PingFang SC"/>
          <w:color w:val="6A3E00"/>
          <w:sz w:val="20"/>
        </w:rPr>
        <w:t>must-not</w:t>
      </w:r>
      <w:r>
        <w:rPr>
          <w:rFonts w:ascii="Calibri" w:hAnsi="Calibri" w:eastAsia="PingFang SC"/>
        </w:rPr>
        <w:t xml:space="preserve"> 规定不能因为 persona 就额外推断、迎合或泄露什么。三者共同防止把随机差异、质量下降或过度个性化误认为有效 personalization。</w:t>
      </w:r>
    </w:p>
    <w:p>
      <w:r>
        <w:rPr>
          <w:rFonts w:ascii="Calibri" w:hAnsi="Calibri" w:eastAsia="PingFang SC"/>
        </w:rPr>
        <w:t>但是 PDR-Bench 的自动评价不能被写成已经完全解决。它在 15 个 query、两个 agent 上做人类校准，最好的 GPT-5 judge 与人类 pairwise 顺序一致率只有 0.43，平均评分偏差为 1.40。</w:t>
      </w:r>
      <w:hyperlink r:id="rId35">
        <w:r>
          <w:rPr>
            <w:rFonts w:ascii="Calibri" w:hAnsi="Calibri" w:eastAsia="PingFang SC"/>
            <w:color w:val="2E74B5"/>
            <w:u w:val="single"/>
          </w:rPr>
          <w:t>[4]</w:t>
        </w:r>
      </w:hyperlink>
      <w:r>
        <w:rPr>
          <w:rFonts w:ascii="Calibri" w:hAnsi="Calibri" w:eastAsia="PingFang SC"/>
        </w:rPr>
        <w:t xml:space="preserve"> 另外，权重/子标准由一次 LLM 生成、分数再由另一个 LLM 生成，量尺本身可能波动；human panel 也不等于 persona 本人；事实分还依赖 claim 抽取、去重、网页抓取和支持判断；P/Q/R 平均又可能让事实失败被其他分补回来。正确说法是：</w:t>
      </w:r>
      <w:r>
        <w:rPr>
          <w:rFonts w:ascii="Calibri" w:hAnsi="Calibri" w:eastAsia="PingFang SC"/>
          <w:b/>
        </w:rPr>
        <w:t>PDR 的 rubric 已经能表示 absolute adaptation，但其 judge 校准和评分链条仍不足以直接支撑精细、跨系统的榜单。</w:t>
      </w:r>
    </w:p>
    <w:p>
      <w:r>
        <w:rPr>
          <w:rFonts w:ascii="Calibri" w:hAnsi="Calibri" w:eastAsia="PingFang SC"/>
        </w:rPr>
        <w:t>还要避免另一个过度主张：matched/swapped 通过，也不能证明模型内部“真的理解了用户”。模型可能只是看到“不懂 AI”就调用短报告模板。为此我们要再检查：同一用户需求改写成结构化 persona、自然历史、澄清对话或去掉显眼关键词后，关键决策是否保持；只换无关人口属性或措辞时，不该变的事实和结论是否稳定。ACL 2026 的研究已经发现，同一 persona 换一种提示线索就可能改变测量结论；</w:t>
      </w:r>
      <w:hyperlink r:id="rId38">
        <w:r>
          <w:rPr>
            <w:rFonts w:ascii="Calibri" w:hAnsi="Calibri" w:eastAsia="PingFang SC"/>
            <w:color w:val="2E74B5"/>
            <w:u w:val="single"/>
          </w:rPr>
          <w:t>[40]</w:t>
        </w:r>
      </w:hyperlink>
      <w:r>
        <w:rPr>
          <w:rFonts w:ascii="Calibri" w:hAnsi="Calibri" w:eastAsia="PingFang SC"/>
        </w:rPr>
        <w:t xml:space="preserve"> PARL 也强调个性化 rubric 必须同时有代表性、用户一致性和区分力。</w:t>
      </w:r>
      <w:hyperlink r:id="rId39">
        <w:r>
          <w:rPr>
            <w:rFonts w:ascii="Calibri" w:hAnsi="Calibri" w:eastAsia="PingFang SC"/>
            <w:color w:val="2E74B5"/>
            <w:u w:val="single"/>
          </w:rPr>
          <w:t>[41]</w:t>
        </w:r>
      </w:hyperlink>
      <w:r>
        <w:rPr>
          <w:rFonts w:ascii="Calibri" w:hAnsi="Calibri" w:eastAsia="PingFang SC"/>
        </w:rPr>
        <w:t xml:space="preserve"> DeepAlign 的 JudgeBench 同时补 PDR 尚未报告的 wrong-user swap、位置、长度、关键词和隐私诱饵，但 judge 改进与 estimand 创新要分开写。</w:t>
      </w:r>
    </w:p>
    <w:p>
      <w:pPr>
        <w:pStyle w:val="Heading2"/>
      </w:pPr>
      <w:r>
        <w:t>1.2 我们采用反事实对照</w:t>
      </w:r>
    </w:p>
    <w:p>
      <w:r>
        <w:rPr>
          <w:rFonts w:ascii="Calibri" w:hAnsi="Calibri" w:eastAsia="PingFang SC"/>
        </w:rPr>
        <w:t>一个任务 family 中，任务、证据、工具和预算保持不变，只改变用户。分别得到：</w:t>
      </w:r>
    </w:p>
    <w:p>
      <w:pPr>
        <w:spacing w:before="80" w:after="160" w:line="240" w:lineRule="auto"/>
        <w:ind w:left="360" w:right="216"/>
        <w:jc w:val="left"/>
        <w:shd w:fill="EEF2F5"/>
      </w:pPr>
      <w:r>
        <w:rPr>
          <w:rFonts w:ascii="Courier New" w:hAnsi="Courier New" w:eastAsia="PingFang SC"/>
          <w:color w:val="163A63"/>
          <w:sz w:val="18"/>
        </w:rPr>
        <w:t>用户 Ua + 同一任务/证据 → 交付物 Ya</w:t>
        <w:br/>
        <w:t>用户 Ub + 同一任务/证据 → 交付物 Yb</w:t>
      </w:r>
    </w:p>
    <w:p>
      <w:r>
        <w:rPr>
          <w:rFonts w:ascii="Calibri" w:hAnsi="Calibri" w:eastAsia="PingFang SC"/>
        </w:rPr>
        <w:t>然后做交换评分：Ua 同时评价 Ya 和 Yb，Ub 也同时评价 Yb 和 Ya。只有 Ya 更适合 Ua、Yb 更适合 Ub，同时共同事实和基本质量都过关，我们才说 agent 做到了个性化。</w:t>
      </w:r>
    </w:p>
    <w:p>
      <w:pPr>
        <w:pStyle w:val="Heading2"/>
      </w:pPr>
      <w:r>
        <w:t>1.3 论文的核心贡献不应是“任务更多”</w:t>
      </w:r>
    </w:p>
    <w:p>
      <w:r>
        <w:rPr>
          <w:rFonts w:ascii="Calibri" w:hAnsi="Calibri" w:eastAsia="PingFang SC"/>
        </w:rPr>
        <w:t>如果只是把 persona、任务和 agent 数量扩大，评审很容易把本项目看成 PDR-Bench、Setoka、PersonaTrail 或 APeB 的拼接版。</w:t>
      </w:r>
      <w:hyperlink r:id="rId35">
        <w:r>
          <w:rPr>
            <w:rFonts w:ascii="Calibri" w:hAnsi="Calibri" w:eastAsia="PingFang SC"/>
            <w:color w:val="2E74B5"/>
            <w:u w:val="single"/>
          </w:rPr>
          <w:t>[4]</w:t>
        </w:r>
      </w:hyperlink>
      <w:hyperlink r:id="rId19">
        <w:r>
          <w:rPr>
            <w:rFonts w:ascii="Calibri" w:hAnsi="Calibri" w:eastAsia="PingFang SC"/>
            <w:color w:val="2E74B5"/>
            <w:u w:val="single"/>
          </w:rPr>
          <w:t>[13]</w:t>
        </w:r>
      </w:hyperlink>
      <w:hyperlink r:id="rId20">
        <w:r>
          <w:rPr>
            <w:rFonts w:ascii="Calibri" w:hAnsi="Calibri" w:eastAsia="PingFang SC"/>
            <w:color w:val="2E74B5"/>
            <w:u w:val="single"/>
          </w:rPr>
          <w:t>[15]</w:t>
        </w:r>
      </w:hyperlink>
      <w:hyperlink r:id="rId21">
        <w:r>
          <w:rPr>
            <w:rFonts w:ascii="Calibri" w:hAnsi="Calibri" w:eastAsia="PingFang SC"/>
            <w:color w:val="2E74B5"/>
            <w:u w:val="single"/>
          </w:rPr>
          <w:t>[19]</w:t>
        </w:r>
      </w:hyperlink>
      <w:r>
        <w:rPr>
          <w:rFonts w:ascii="Calibri" w:hAnsi="Calibri" w:eastAsia="PingFang SC"/>
        </w:rPr>
        <w:t xml:space="preserve"> 因此核心贡献必须是可以单独验证的方法：</w:t>
      </w:r>
    </w:p>
    <w:p>
      <w:pPr>
        <w:numPr>
          <w:ilvl w:val="0"/>
          <w:numId w:val="12"/>
        </w:numPr>
        <w:spacing w:after="80" w:line="290" w:lineRule="auto"/>
        <w:ind w:left="540" w:hanging="279"/>
      </w:pPr>
      <w:r>
        <w:rPr>
          <w:rFonts w:ascii="Calibri" w:hAnsi="Calibri" w:eastAsia="PingFang SC"/>
        </w:rPr>
        <w:t>用统一元数据描述不同 Deep Research 场景；</w:t>
      </w:r>
    </w:p>
    <w:p>
      <w:pPr>
        <w:numPr>
          <w:ilvl w:val="0"/>
          <w:numId w:val="12"/>
        </w:numPr>
        <w:spacing w:after="80" w:line="290" w:lineRule="auto"/>
        <w:ind w:left="540" w:hanging="279"/>
      </w:pPr>
      <w:r>
        <w:rPr>
          <w:rFonts w:ascii="Calibri" w:hAnsi="Calibri" w:eastAsia="PingFang SC"/>
        </w:rPr>
        <w:t>用反事实任务族识别可观察的用户特异结果，而不是推断模型内部认知；</w:t>
      </w:r>
    </w:p>
    <w:p>
      <w:pPr>
        <w:numPr>
          <w:ilvl w:val="0"/>
          <w:numId w:val="12"/>
        </w:numPr>
        <w:spacing w:after="80" w:line="290" w:lineRule="auto"/>
        <w:ind w:left="540" w:hanging="279"/>
      </w:pPr>
      <w:r>
        <w:rPr>
          <w:rFonts w:ascii="Calibri" w:hAnsi="Calibri" w:eastAsia="PingFang SC"/>
        </w:rPr>
        <w:t>用元数据自动选择适用 rubric，而不是一张表硬评所有任务；</w:t>
      </w:r>
    </w:p>
    <w:p>
      <w:pPr>
        <w:numPr>
          <w:ilvl w:val="0"/>
          <w:numId w:val="12"/>
        </w:numPr>
        <w:spacing w:after="80" w:line="290" w:lineRule="auto"/>
        <w:ind w:left="540" w:hanging="279"/>
      </w:pPr>
      <w:r>
        <w:rPr>
          <w:rFonts w:ascii="Calibri" w:hAnsi="Calibri" w:eastAsia="PingFang SC"/>
        </w:rPr>
        <w:t>单独评估 judge 是否可靠；</w:t>
      </w:r>
    </w:p>
    <w:p>
      <w:pPr>
        <w:numPr>
          <w:ilvl w:val="0"/>
          <w:numId w:val="12"/>
        </w:numPr>
        <w:spacing w:after="80" w:line="290" w:lineRule="auto"/>
        <w:ind w:left="540" w:hanging="279"/>
      </w:pPr>
      <w:r>
        <w:rPr>
          <w:rFonts w:ascii="Calibri" w:hAnsi="Calibri" w:eastAsia="PingFang SC"/>
        </w:rPr>
        <w:t>用压力测试区分获取、保持、利用和更新问题。</w:t>
      </w:r>
    </w:p>
    <w:p>
      <w:r>
        <w:rPr>
          <w:rFonts w:ascii="Calibri" w:hAnsi="Calibri" w:eastAsia="PingFang SC"/>
        </w:rPr>
        <w:t>我们也要主动缩小首创表述：不声称首先研究 personalization、history、tool use、persistent state 或 temporal intervention，也不声称通过输出实验证明了模型“真正理解用户”。我们的候选贡献是把这些已有方向连接到</w:t>
      </w:r>
      <w:r>
        <w:rPr>
          <w:rFonts w:ascii="Calibri" w:hAnsi="Calibri" w:eastAsia="PingFang SC"/>
          <w:b/>
        </w:rPr>
        <w:t>广义 Deep Research 最终交付物的反事实特异性测量</w:t>
      </w:r>
      <w:r>
        <w:rPr>
          <w:rFonts w:ascii="Calibri" w:hAnsi="Calibri" w:eastAsia="PingFang SC"/>
        </w:rPr>
        <w:t>。如果 matched/swapped 人评不稳定，或同一用户需求换一种语义等价表达就改变结论，这个贡献就没有成立。</w:t>
      </w:r>
    </w:p>
    <w:p>
      <w:pPr>
        <w:pStyle w:val="Heading1"/>
      </w:pPr>
      <w:r>
        <w:t>2. 一个测试样本到底包含什么</w:t>
      </w:r>
    </w:p>
    <w:p>
      <w:pPr>
        <w:pStyle w:val="Heading2"/>
      </w:pPr>
      <w:r>
        <w:t>2.1 五组元数据</w:t>
      </w:r>
    </w:p>
    <w:p>
      <w:r>
        <w:rPr>
          <w:rFonts w:ascii="Calibri" w:hAnsi="Calibri" w:eastAsia="PingFang SC"/>
        </w:rPr>
        <w:t>我们把一个 case 写成五组信息。这样做的目的不是增加术语，而是保证每次结果都能回答“在什么条件下、对什么任务、给了什么用户信息、测了什么系统”。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000"/>
        <w:gridCol w:w="4660"/>
      </w:tblGrid>
      <w:tr>
        <w:trPr>
          <w:tblHeader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40" w:line="259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PingFang SC"/>
                <w:b/>
                <w:color w:val="163A63"/>
                <w:sz w:val="18"/>
              </w:rPr>
              <w:t>组别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40" w:line="259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PingFang SC"/>
                <w:b/>
                <w:color w:val="163A63"/>
                <w:sz w:val="18"/>
              </w:rPr>
              <w:t>用人话解释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40" w:line="259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PingFang SC"/>
                <w:b/>
                <w:color w:val="163A63"/>
                <w:sz w:val="18"/>
              </w:rPr>
              <w:t>主要字段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 w:eastAsia="PingFang SC"/>
                <w:sz w:val="18"/>
              </w:rPr>
              <w:t>Research Task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/>
            <w:r>
              <w:rPr>
                <w:rFonts w:ascii="Calibri" w:hAnsi="Calibri" w:eastAsia="PingFang SC"/>
                <w:sz w:val="18"/>
              </w:rPr>
              <w:t>用户到底要研究什么、拿结果做什么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/>
            <w:r>
              <w:rPr>
                <w:rFonts w:ascii="Calibri" w:hAnsi="Calibri" w:eastAsia="PingFang SC"/>
                <w:sz w:val="18"/>
              </w:rPr>
              <w:t>使用情境、研究意图、领域、交付物、任务强度、风险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 w:eastAsia="PingFang SC"/>
                <w:sz w:val="18"/>
              </w:rPr>
              <w:t>Research Environment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/>
            <w:r>
              <w:rPr>
                <w:rFonts w:ascii="Calibri" w:hAnsi="Calibri" w:eastAsia="PingFang SC"/>
                <w:sz w:val="18"/>
              </w:rPr>
              <w:t>agent 在什么证据和工具条件下工作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/>
            <w:r>
              <w:rPr>
                <w:rFonts w:ascii="Calibri" w:hAnsi="Calibri" w:eastAsia="PingFang SC"/>
                <w:sz w:val="18"/>
              </w:rPr>
              <w:t>frozen/live/private 证据、时效、搜索工具、预算、权限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 w:eastAsia="PingFang SC"/>
                <w:sz w:val="18"/>
              </w:rPr>
              <w:t>User State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/>
            <w:r>
              <w:rPr>
                <w:rFonts w:ascii="Calibri" w:hAnsi="Calibri" w:eastAsia="PingFang SC"/>
                <w:sz w:val="18"/>
              </w:rPr>
              <w:t>对当前任务真正有用的用户信息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/>
            <w:r>
              <w:rPr>
                <w:rFonts w:ascii="Calibri" w:hAnsi="Calibri" w:eastAsia="PingFang SC"/>
                <w:sz w:val="18"/>
              </w:rPr>
              <w:t>目标、知识、约束、偏好、风险、受众、权限、动态状态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 w:eastAsia="PingFang SC"/>
                <w:sz w:val="18"/>
              </w:rPr>
              <w:t>Signal Channel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/>
            <w:r>
              <w:rPr>
                <w:rFonts w:ascii="Calibri" w:hAnsi="Calibri" w:eastAsia="PingFang SC"/>
                <w:sz w:val="18"/>
              </w:rPr>
              <w:t>用户信息以什么方式交给 agent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/>
            <w:r>
              <w:rPr>
                <w:rFonts w:ascii="Calibri" w:hAnsi="Calibri" w:eastAsia="PingFang SC"/>
                <w:sz w:val="18"/>
              </w:rPr>
              <w:t>persona、对话历史、澄清、行为记录、工作区、反馈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 w:eastAsia="PingFang SC"/>
                <w:sz w:val="18"/>
              </w:rPr>
              <w:t>Agent System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/>
            <w:r>
              <w:rPr>
                <w:rFonts w:ascii="Calibri" w:hAnsi="Calibri" w:eastAsia="PingFang SC"/>
                <w:sz w:val="18"/>
              </w:rPr>
              <w:t>被测系统到底具备什么能力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/>
            <w:r>
              <w:rPr>
                <w:rFonts w:ascii="Calibri" w:hAnsi="Calibri" w:eastAsia="PingFang SC"/>
                <w:sz w:val="18"/>
              </w:rPr>
              <w:t>模型版本、搜索、记忆、规划、多 agent、工具访问</w:t>
            </w:r>
          </w:p>
        </w:tc>
      </w:tr>
    </w:tbl>
    <w:p>
      <w:pPr>
        <w:spacing w:after="40"/>
      </w:pPr>
    </w:p>
    <w:p>
      <w:r>
        <w:rPr>
          <w:rFonts w:ascii="Calibri" w:hAnsi="Calibri" w:eastAsia="PingFang SC"/>
        </w:rPr>
        <w:t xml:space="preserve">这五组元数据组成 </w:t>
      </w:r>
      <w:r>
        <w:rPr>
          <w:rFonts w:ascii="Calibri" w:hAnsi="Calibri" w:eastAsia="PingFang SC"/>
          <w:b/>
        </w:rPr>
        <w:t>Deep Research Evaluation Atlas</w:t>
      </w:r>
      <w:r>
        <w:rPr>
          <w:rFonts w:ascii="Calibri" w:hAnsi="Calibri" w:eastAsia="PingFang SC"/>
        </w:rPr>
        <w:t>。Atlas 是“可测试空间的地图”，不是声称我们已经测完地图里的每一个格子。</w:t>
      </w:r>
    </w:p>
    <w:p>
      <w:pPr>
        <w:pStyle w:val="Heading2"/>
      </w:pPr>
      <w:r>
        <w:t>2.2 四种行为测试</w:t>
      </w:r>
    </w:p>
    <w:p>
      <w:pPr>
        <w:pStyle w:val="ListBullet"/>
      </w:pPr>
      <w:r>
        <w:rPr>
          <w:rFonts w:ascii="Calibri" w:hAnsi="Calibri" w:eastAsia="PingFang SC"/>
          <w:b/>
        </w:rPr>
        <w:t>Acquire</w:t>
      </w:r>
      <w:r>
        <w:rPr>
          <w:rFonts w:ascii="Calibri" w:hAnsi="Calibri" w:eastAsia="PingFang SC"/>
        </w:rPr>
        <w:t>：缺少关键信息时，agent 会不会提出有价值的澄清问题？</w:t>
      </w:r>
    </w:p>
    <w:p>
      <w:pPr>
        <w:pStyle w:val="ListBullet"/>
      </w:pPr>
      <w:r>
        <w:rPr>
          <w:rFonts w:ascii="Calibri" w:hAnsi="Calibri" w:eastAsia="PingFang SC"/>
          <w:b/>
        </w:rPr>
        <w:t>Preserve</w:t>
      </w:r>
      <w:r>
        <w:rPr>
          <w:rFonts w:ascii="Calibri" w:hAnsi="Calibri" w:eastAsia="PingFang SC"/>
        </w:rPr>
        <w:t>：任务变长、信息变多或发生交接后，agent 能不能保留重要用户约束？</w:t>
      </w:r>
    </w:p>
    <w:p>
      <w:pPr>
        <w:pStyle w:val="ListBullet"/>
      </w:pPr>
      <w:r>
        <w:rPr>
          <w:rFonts w:ascii="Calibri" w:hAnsi="Calibri" w:eastAsia="PingFang SC"/>
          <w:b/>
        </w:rPr>
        <w:t>Use</w:t>
      </w:r>
      <w:r>
        <w:rPr>
          <w:rFonts w:ascii="Calibri" w:hAnsi="Calibri" w:eastAsia="PingFang SC"/>
        </w:rPr>
        <w:t>：agent 知道用户信息后，是否真的把它落实到研究、判断和交付物？</w:t>
      </w:r>
    </w:p>
    <w:p>
      <w:pPr>
        <w:pStyle w:val="ListBullet"/>
      </w:pPr>
      <w:r>
        <w:rPr>
          <w:rFonts w:ascii="Calibri" w:hAnsi="Calibri" w:eastAsia="PingFang SC"/>
          <w:b/>
        </w:rPr>
        <w:t>Update</w:t>
      </w:r>
      <w:r>
        <w:rPr>
          <w:rFonts w:ascii="Calibri" w:hAnsi="Calibri" w:eastAsia="PingFang SC"/>
        </w:rPr>
        <w:t>：用户状态按预注册事件发生变化后，agent 能不能采用当前真值并停止使用旧状态？</w:t>
      </w:r>
    </w:p>
    <w:p>
      <w:r>
        <w:rPr>
          <w:rFonts w:ascii="Calibri" w:hAnsi="Calibri" w:eastAsia="PingFang SC"/>
        </w:rPr>
        <w:t>一个 case 等于：Atlas 中的一组坐标，加上一种行为测试，再加上事先写好的预期评价契约。</w:t>
      </w:r>
    </w:p>
    <w:p>
      <w:pPr>
        <w:pStyle w:val="Heading2"/>
      </w:pPr>
      <w:r>
        <w:t>2.3 Coverage manifest</w:t>
      </w:r>
    </w:p>
    <w:p>
      <w:r>
        <w:rPr>
          <w:rFonts w:ascii="Calibri" w:hAnsi="Calibri" w:eastAsia="PingFang SC"/>
        </w:rPr>
        <w:t>我们不会用“全面”这个词掩盖空白。每个组合都标记为：</w:t>
      </w:r>
    </w:p>
    <w:p>
      <w:pPr>
        <w:pStyle w:val="ListBullet"/>
      </w:pPr>
      <w:r>
        <w:rPr>
          <w:rFonts w:ascii="Courier New" w:hAnsi="Courier New" w:eastAsia="PingFang SC"/>
          <w:color w:val="6A3E00"/>
          <w:sz w:val="20"/>
        </w:rPr>
        <w:t>tested</w:t>
      </w:r>
      <w:r>
        <w:rPr>
          <w:rFonts w:ascii="Calibri" w:hAnsi="Calibri" w:eastAsia="PingFang SC"/>
        </w:rPr>
        <w:t>：进入主实验；</w:t>
      </w:r>
    </w:p>
    <w:p>
      <w:pPr>
        <w:pStyle w:val="ListBullet"/>
      </w:pPr>
      <w:r>
        <w:rPr>
          <w:rFonts w:ascii="Courier New" w:hAnsi="Courier New" w:eastAsia="PingFang SC"/>
          <w:color w:val="6A3E00"/>
          <w:sz w:val="20"/>
        </w:rPr>
        <w:t>defined-only</w:t>
      </w:r>
      <w:r>
        <w:rPr>
          <w:rFonts w:ascii="Calibri" w:hAnsi="Calibri" w:eastAsia="PingFang SC"/>
        </w:rPr>
        <w:t>：已经定义，但这版没有运行；</w:t>
      </w:r>
    </w:p>
    <w:p>
      <w:pPr>
        <w:pStyle w:val="ListBullet"/>
      </w:pPr>
      <w:r>
        <w:rPr>
          <w:rFonts w:ascii="Courier New" w:hAnsi="Courier New" w:eastAsia="PingFang SC"/>
          <w:color w:val="6A3E00"/>
          <w:sz w:val="20"/>
        </w:rPr>
        <w:t>structurally-inapplicable</w:t>
      </w:r>
      <w:r>
        <w:rPr>
          <w:rFonts w:ascii="Calibri" w:hAnsi="Calibri" w:eastAsia="PingFang SC"/>
        </w:rPr>
        <w:t>：这个组合本身不合理；</w:t>
      </w:r>
    </w:p>
    <w:p>
      <w:pPr>
        <w:pStyle w:val="ListBullet"/>
      </w:pPr>
      <w:r>
        <w:rPr>
          <w:rFonts w:ascii="Courier New" w:hAnsi="Courier New" w:eastAsia="PingFang SC"/>
          <w:color w:val="6A3E00"/>
          <w:sz w:val="20"/>
        </w:rPr>
        <w:t>deferred</w:t>
      </w:r>
      <w:r>
        <w:rPr>
          <w:rFonts w:ascii="Calibri" w:hAnsi="Calibri" w:eastAsia="PingFang SC"/>
        </w:rPr>
        <w:t>：合理，但因为两个月预算延后。</w:t>
      </w:r>
    </w:p>
    <w:p>
      <w:r>
        <w:rPr>
          <w:rFonts w:ascii="Calibri" w:hAnsi="Calibri" w:eastAsia="PingFang SC"/>
        </w:rPr>
        <w:t>论文必须公开每个格子的样本量、模型数和运行条件。没有测试的格子不能用于支持结论。</w:t>
      </w:r>
    </w:p>
    <w:p>
      <w:pPr>
        <w:pStyle w:val="Heading1"/>
      </w:pPr>
      <w:r>
        <w:t>3. 任务如何分类</w:t>
      </w:r>
    </w:p>
    <w:p>
      <w:pPr>
        <w:pStyle w:val="Heading2"/>
      </w:pPr>
      <w:r>
        <w:t>3.1 不只分“博士题”和“日常题”</w:t>
      </w:r>
    </w:p>
    <w:p>
      <w:r>
        <w:rPr>
          <w:rFonts w:ascii="Calibri" w:hAnsi="Calibri" w:eastAsia="PingFang SC"/>
        </w:rPr>
        <w:t>“PhD-level”和“daily”混合了用户身份、领域和任务难度。日常旅行规划可能需要大量搜索和复杂约束；博士也可能只要求核验一个事实。因此我们采用三个相互补充的维度。</w:t>
      </w:r>
    </w:p>
    <w:p>
      <w:pPr>
        <w:pStyle w:val="Heading2"/>
      </w:pPr>
      <w:r>
        <w:t>3.2 使用情境</w:t>
      </w:r>
    </w:p>
    <w:p>
      <w:pPr>
        <w:numPr>
          <w:ilvl w:val="0"/>
          <w:numId w:val="13"/>
        </w:numPr>
        <w:spacing w:after="80" w:line="290" w:lineRule="auto"/>
        <w:ind w:left="540" w:hanging="279"/>
      </w:pPr>
      <w:r>
        <w:rPr>
          <w:rFonts w:ascii="Calibri" w:hAnsi="Calibri" w:eastAsia="PingFang SC"/>
        </w:rPr>
        <w:t>个人与日常：旅行、消费、学习、职业、家庭计划；</w:t>
      </w:r>
    </w:p>
    <w:p>
      <w:pPr>
        <w:numPr>
          <w:ilvl w:val="0"/>
          <w:numId w:val="13"/>
        </w:numPr>
        <w:spacing w:after="80" w:line="290" w:lineRule="auto"/>
        <w:ind w:left="540" w:hanging="279"/>
      </w:pPr>
      <w:r>
        <w:rPr>
          <w:rFonts w:ascii="Calibri" w:hAnsi="Calibri" w:eastAsia="PingFang SC"/>
        </w:rPr>
        <w:t>专业与企业：市场、采购、合规、技术和运营决策；</w:t>
      </w:r>
    </w:p>
    <w:p>
      <w:pPr>
        <w:numPr>
          <w:ilvl w:val="0"/>
          <w:numId w:val="13"/>
        </w:numPr>
        <w:spacing w:after="80" w:line="290" w:lineRule="auto"/>
        <w:ind w:left="540" w:hanging="279"/>
      </w:pPr>
      <w:r>
        <w:rPr>
          <w:rFonts w:ascii="Calibri" w:hAnsi="Calibri" w:eastAsia="PingFang SC"/>
        </w:rPr>
        <w:t>学术与前沿：文献综述、prior art、研究设计和开放问题。</w:t>
      </w:r>
    </w:p>
    <w:p>
      <w:pPr>
        <w:pStyle w:val="Heading2"/>
      </w:pPr>
      <w:r>
        <w:t>3.3 六类研究意图</w:t>
      </w:r>
    </w:p>
    <w:p>
      <w:pPr>
        <w:numPr>
          <w:ilvl w:val="0"/>
          <w:numId w:val="14"/>
        </w:numPr>
        <w:spacing w:after="80" w:line="290" w:lineRule="auto"/>
        <w:ind w:left="540" w:hanging="279"/>
      </w:pPr>
      <w:r>
        <w:rPr>
          <w:rFonts w:ascii="Calibri" w:hAnsi="Calibri" w:eastAsia="PingFang SC"/>
        </w:rPr>
        <w:t>理解与综合；</w:t>
      </w:r>
    </w:p>
    <w:p>
      <w:pPr>
        <w:numPr>
          <w:ilvl w:val="0"/>
          <w:numId w:val="14"/>
        </w:numPr>
        <w:spacing w:after="80" w:line="290" w:lineRule="auto"/>
        <w:ind w:left="540" w:hanging="279"/>
      </w:pPr>
      <w:r>
        <w:rPr>
          <w:rFonts w:ascii="Calibri" w:hAnsi="Calibri" w:eastAsia="PingFang SC"/>
        </w:rPr>
        <w:t>发现与枚举；</w:t>
      </w:r>
    </w:p>
    <w:p>
      <w:pPr>
        <w:numPr>
          <w:ilvl w:val="0"/>
          <w:numId w:val="14"/>
        </w:numPr>
        <w:spacing w:after="80" w:line="290" w:lineRule="auto"/>
        <w:ind w:left="540" w:hanging="279"/>
      </w:pPr>
      <w:r>
        <w:rPr>
          <w:rFonts w:ascii="Calibri" w:hAnsi="Calibri" w:eastAsia="PingFang SC"/>
        </w:rPr>
        <w:t>比较与决策；</w:t>
      </w:r>
    </w:p>
    <w:p>
      <w:pPr>
        <w:numPr>
          <w:ilvl w:val="0"/>
          <w:numId w:val="14"/>
        </w:numPr>
        <w:spacing w:after="80" w:line="290" w:lineRule="auto"/>
        <w:ind w:left="540" w:hanging="279"/>
      </w:pPr>
      <w:r>
        <w:rPr>
          <w:rFonts w:ascii="Calibri" w:hAnsi="Calibri" w:eastAsia="PingFang SC"/>
        </w:rPr>
        <w:t>评估与预测；</w:t>
      </w:r>
    </w:p>
    <w:p>
      <w:pPr>
        <w:numPr>
          <w:ilvl w:val="0"/>
          <w:numId w:val="14"/>
        </w:numPr>
        <w:spacing w:after="80" w:line="290" w:lineRule="auto"/>
        <w:ind w:left="540" w:hanging="279"/>
      </w:pPr>
      <w:r>
        <w:rPr>
          <w:rFonts w:ascii="Calibri" w:hAnsi="Calibri" w:eastAsia="PingFang SC"/>
        </w:rPr>
        <w:t>规划、设计与排障；</w:t>
      </w:r>
    </w:p>
    <w:p>
      <w:pPr>
        <w:numPr>
          <w:ilvl w:val="0"/>
          <w:numId w:val="14"/>
        </w:numPr>
        <w:spacing w:after="80" w:line="290" w:lineRule="auto"/>
        <w:ind w:left="540" w:hanging="279"/>
      </w:pPr>
      <w:r>
        <w:rPr>
          <w:rFonts w:ascii="Calibri" w:hAnsi="Calibri" w:eastAsia="PingFang SC"/>
        </w:rPr>
        <w:t>验证与审计。</w:t>
      </w:r>
    </w:p>
    <w:p>
      <w:pPr>
        <w:pStyle w:val="Heading2"/>
      </w:pPr>
      <w:r>
        <w:t>3.4 任务强度</w:t>
      </w:r>
    </w:p>
    <w:p>
      <w:r>
        <w:rPr>
          <w:rFonts w:ascii="Calibri" w:hAnsi="Calibri" w:eastAsia="PingFang SC"/>
        </w:rPr>
        <w:t>我们不把难度压成一个分数，而是分别标注：概念广度、逻辑层数、探索性、搜索分支数、信息时效、风险和可逆性、是否需要互动。</w:t>
      </w:r>
    </w:p>
    <w:p>
      <w:r>
        <w:rPr>
          <w:rFonts w:ascii="Calibri" w:hAnsi="Calibri" w:eastAsia="PingFang SC"/>
        </w:rPr>
        <w:t>Atlas 仍定义“3 种使用情境 × 6 种研究意图”，但 v0.32 不机械填满格子。先用 3 个 vertical slice 验证 decision utility 构念，再按功效与可行性扩到 8–12 个 family；coverage manifest 继续记录未测、结构上不适用和延期单元。</w:t>
      </w:r>
    </w:p>
    <w:p>
      <w:pPr>
        <w:pStyle w:val="Heading2"/>
      </w:pPr>
      <w:r>
        <w:t>3.5 一个 task family 到底怎么造</w:t>
      </w:r>
    </w:p>
    <w:p>
      <w:r>
        <w:rPr>
          <w:rFonts w:ascii="Calibri" w:hAnsi="Calibri" w:eastAsia="PingFang SC"/>
        </w:rPr>
        <w:t>先不要把很多论文里的 task/persona/rubric 直接拼在一起。建一张 source-to-design ledger：每篇论文的一条设计资产只能先标成 task seed、用户信息 construct、压力/失败假设、rubric/judge 方法或运行基础设施；同时写清采用什么、改了什么、为什么不采用其余部分。这样 PDR 的 persona-aware 评分、Agent-SafetyBench 的 failure 组织、PaperBench 的原子 rubric 和 EvalScope 的 adapter 不会被错误地当作同一层 taxonomy。</w:t>
      </w:r>
    </w:p>
    <w:p>
      <w:r>
        <w:rPr>
          <w:rFonts w:ascii="Calibri" w:hAnsi="Calibri" w:eastAsia="PingFang SC"/>
        </w:rPr>
        <w:t>Task family 不是“旅行类”“学术类”这样的标签，而是一套能生成受控条件的蓝图。实际按八步做：</w:t>
      </w:r>
    </w:p>
    <w:p>
      <w:pPr>
        <w:numPr>
          <w:ilvl w:val="0"/>
          <w:numId w:val="15"/>
        </w:numPr>
        <w:spacing w:after="80" w:line="290" w:lineRule="auto"/>
        <w:ind w:left="540" w:hanging="279"/>
      </w:pPr>
      <w:r>
        <w:rPr>
          <w:rFonts w:ascii="Calibri" w:hAnsi="Calibri" w:eastAsia="PingFang SC"/>
        </w:rPr>
        <w:t>从真实用户、专业工作流或已有 benchmark 收集一个确实需要多步研究的问题；</w:t>
      </w:r>
    </w:p>
    <w:p>
      <w:pPr>
        <w:numPr>
          <w:ilvl w:val="0"/>
          <w:numId w:val="15"/>
        </w:numPr>
        <w:spacing w:after="80" w:line="290" w:lineRule="auto"/>
        <w:ind w:left="540" w:hanging="279"/>
      </w:pPr>
      <w:r>
        <w:rPr>
          <w:rFonts w:ascii="Calibri" w:hAnsi="Calibri" w:eastAsia="PingFang SC"/>
        </w:rPr>
        <w:t>固定所有用户共同的目标、证据截止时间、工具、预算和交付物；</w:t>
      </w:r>
    </w:p>
    <w:p>
      <w:pPr>
        <w:numPr>
          <w:ilvl w:val="0"/>
          <w:numId w:val="15"/>
        </w:numPr>
        <w:spacing w:after="80" w:line="290" w:lineRule="auto"/>
        <w:ind w:left="540" w:hanging="279"/>
      </w:pPr>
      <w:r>
        <w:rPr>
          <w:rFonts w:ascii="Calibri" w:hAnsi="Calibri" w:eastAsia="PingFang SC"/>
        </w:rPr>
        <w:t>标注使用情境、研究意图、交付物和需求剖面；</w:t>
      </w:r>
    </w:p>
    <w:p>
      <w:pPr>
        <w:numPr>
          <w:ilvl w:val="0"/>
          <w:numId w:val="15"/>
        </w:numPr>
        <w:spacing w:after="80" w:line="290" w:lineRule="auto"/>
        <w:ind w:left="540" w:hanging="279"/>
      </w:pPr>
      <w:r>
        <w:rPr>
          <w:rFonts w:ascii="Calibri" w:hAnsi="Calibri" w:eastAsia="PingFang SC"/>
        </w:rPr>
        <w:t>建 frozen evidence pack、困难负例、时间戳和权限视图；</w:t>
      </w:r>
    </w:p>
    <w:p>
      <w:pPr>
        <w:numPr>
          <w:ilvl w:val="0"/>
          <w:numId w:val="15"/>
        </w:numPr>
        <w:spacing w:after="80" w:line="290" w:lineRule="auto"/>
        <w:ind w:left="540" w:hanging="279"/>
      </w:pPr>
      <w:r>
        <w:rPr>
          <w:rFonts w:ascii="Calibri" w:hAnsi="Calibri" w:eastAsia="PingFang SC"/>
        </w:rPr>
        <w:t>预先定义搜索 fan-out、冲突、上下文、handoff、更新等难度旋钮；</w:t>
      </w:r>
    </w:p>
    <w:p>
      <w:pPr>
        <w:numPr>
          <w:ilvl w:val="0"/>
          <w:numId w:val="15"/>
        </w:numPr>
        <w:spacing w:after="80" w:line="290" w:lineRule="auto"/>
        <w:ind w:left="540" w:hanging="279"/>
      </w:pPr>
      <w:r>
        <w:rPr>
          <w:rFonts w:ascii="Calibri" w:hAnsi="Calibri" w:eastAsia="PingFang SC"/>
        </w:rPr>
        <w:t>配两个都自然、但会改变至少两项交付决策的用户；</w:t>
      </w:r>
    </w:p>
    <w:p>
      <w:pPr>
        <w:numPr>
          <w:ilvl w:val="0"/>
          <w:numId w:val="15"/>
        </w:numPr>
        <w:spacing w:after="80" w:line="290" w:lineRule="auto"/>
        <w:ind w:left="540" w:hanging="279"/>
      </w:pPr>
      <w:r>
        <w:rPr>
          <w:rFonts w:ascii="Calibri" w:hAnsi="Calibri" w:eastAsia="PingFang SC"/>
        </w:rPr>
        <w:t>在模型运行前写 must-change / must-hold / must-not 和可接受替代；</w:t>
      </w:r>
    </w:p>
    <w:p>
      <w:pPr>
        <w:numPr>
          <w:ilvl w:val="0"/>
          <w:numId w:val="15"/>
        </w:numPr>
        <w:spacing w:after="80" w:line="290" w:lineRule="auto"/>
        <w:ind w:left="540" w:hanging="279"/>
      </w:pPr>
      <w:r>
        <w:rPr>
          <w:rFonts w:ascii="Calibri" w:hAnsi="Calibri" w:eastAsia="PingFang SC"/>
        </w:rPr>
        <w:t>用参考 matched/swapped 输出做人评 pilot，分不出来就删题。</w:t>
      </w:r>
    </w:p>
    <w:p>
      <w:r>
        <w:rPr>
          <w:rFonts w:ascii="Calibri" w:hAnsi="Calibri" w:eastAsia="PingFang SC"/>
        </w:rPr>
        <w:t>Task 元数据不是“都让人手填”，也不是“都让模型自动标”。来源、许可、时间、证据哈希、工具和预算可以自动导入后由人检查；任务意图、风险、是否需要澄清、哪些用户差异应改变结果，以及四类评价契约必须在模型运行前由两个人独立标注并仲裁；任务实际有多难、模型哪里失败、judge 是否一致，只能在 pilot 后作为 observed 字段另存，不能反过来改预期标签。</w:t>
      </w:r>
    </w:p>
    <w:p>
      <w:r>
        <w:rPr>
          <w:rFonts w:ascii="Calibri" w:hAnsi="Calibri" w:eastAsia="PingFang SC"/>
        </w:rPr>
        <w:t>所以“同一个医疗 AI 采购研究 + 医院管理者/临床 AI 研究员”是一个 family：法规和产品事实不变，但 ROI/流程/合规与验证/漂移/复现的优先级必须变化。</w:t>
      </w:r>
    </w:p>
    <w:p>
      <w:pPr>
        <w:pStyle w:val="Heading2"/>
      </w:pPr>
      <w:r>
        <w:t>3.6 难度怎么逐级增加</w:t>
      </w:r>
    </w:p>
    <w:p>
      <w:r>
        <w:rPr>
          <w:rFonts w:ascii="Calibri" w:hAnsi="Calibri" w:eastAsia="PingFang SC"/>
        </w:rPr>
        <w:t>难度用六个独立旋钮表示：证据复杂度、用户信号复杂度、上下文长度、交接负载、权限敏感度、用户差异细微度。Anchor 内按同一前缀运行：</w:t>
      </w:r>
      <w:r>
        <w:rPr>
          <w:rFonts w:ascii="Courier New" w:hAnsi="Courier New" w:eastAsia="PingFang SC"/>
          <w:color w:val="6A3E00"/>
          <w:sz w:val="20"/>
        </w:rPr>
        <w:t>S0 clean → S1 单个轻扰动 → S2 单个强扰动 → S3 两个正交扰动</w:t>
      </w:r>
      <w:r>
        <w:rPr>
          <w:rFonts w:ascii="Calibri" w:hAnsi="Calibri" w:eastAsia="PingFang SC"/>
        </w:rPr>
        <w:t>。Risk 说明失败伤害什么，failure mode 说明想暴露什么机制，stress level 说明触发有多强；三者不能混成一个总难度分。</w:t>
      </w:r>
    </w:p>
    <w:p>
      <w:pPr>
        <w:pStyle w:val="Heading1"/>
      </w:pPr>
      <w:r>
        <w:t>4. Persona 和用户真值怎么做</w:t>
      </w:r>
    </w:p>
    <w:p>
      <w:pPr>
        <w:pStyle w:val="Heading2"/>
      </w:pPr>
      <w:r>
        <w:t>4.1 Persona 不是人物小传</w:t>
      </w:r>
    </w:p>
    <w:p>
      <w:r>
        <w:rPr>
          <w:rFonts w:ascii="Calibri" w:hAnsi="Calibri" w:eastAsia="PingFang SC"/>
        </w:rPr>
        <w:t>Persona 只是用户状态的一种展示形式。我们真正保存的是一个与任务相关的 user-state ledger。每条信息都记录：来源、时间、可靠度、敏感程度、与任务是否相关、是否允许用于推理、是否允许写进最终交付物。</w:t>
      </w:r>
    </w:p>
    <w:p>
      <w:r>
        <w:rPr>
          <w:rFonts w:ascii="Calibri" w:hAnsi="Calibri" w:eastAsia="PingFang SC"/>
        </w:rPr>
        <w:t>同一份 ledger 可以被转成 structured persona、自然对话历史、澄清回答或 memory 记录。不同形式必须保持语义等价，否则测到的就不是“渠道差异”，而是“信息内容不同”。</w:t>
      </w:r>
    </w:p>
    <w:p>
      <w:r>
        <w:rPr>
          <w:rFonts w:ascii="Calibri" w:hAnsi="Calibri" w:eastAsia="PingFang SC"/>
        </w:rPr>
        <w:t>具体不是让作者凭空写人物，而是：让约 32–40 位参与者各选 1–2 个与自己真实相关的 task shell，用 30–45 分钟访谈提取目标/知识/硬约束/风险/受众/权限与近期事件 → 先写 Ua/Ub 共享核心 → 只改 2–4 个有决策后果的字段 → 每条事实映射到评价契约 → 从同一 ledger 生成不同 signal view → 再生成 demographic-only、irrelevant、wrong-user、stale 和 redacted 负对照 → 原用户、相似用户与领域专家三方验证。Gold 最好是两位真实用户；实在配不到，才用一位真实用户加第二位相似参与者确认的最小反事实编辑。自然历史来自参与者回忆、日记、授权轨迹或逐句确认的转述，annotator 自己编的生活故事不算 gold。</w:t>
      </w:r>
    </w:p>
    <w:p>
      <w:pPr>
        <w:pStyle w:val="Heading2"/>
      </w:pPr>
      <w:r>
        <w:t>4.2 六道 persona-task 检查</w:t>
      </w:r>
    </w:p>
    <w:p>
      <w:pPr>
        <w:numPr>
          <w:ilvl w:val="0"/>
          <w:numId w:val="16"/>
        </w:numPr>
        <w:spacing w:after="80" w:line="290" w:lineRule="auto"/>
        <w:ind w:left="540" w:hanging="279"/>
      </w:pPr>
      <w:r>
        <w:rPr>
          <w:rFonts w:ascii="Calibri" w:hAnsi="Calibri" w:eastAsia="PingFang SC"/>
          <w:b/>
        </w:rPr>
        <w:t>场景真实</w:t>
      </w:r>
      <w:r>
        <w:rPr>
          <w:rFonts w:ascii="Calibri" w:hAnsi="Calibri" w:eastAsia="PingFang SC"/>
        </w:rPr>
        <w:t>：这个用户自然地会提出这个任务；</w:t>
      </w:r>
    </w:p>
    <w:p>
      <w:pPr>
        <w:numPr>
          <w:ilvl w:val="0"/>
          <w:numId w:val="16"/>
        </w:numPr>
        <w:spacing w:after="80" w:line="290" w:lineRule="auto"/>
        <w:ind w:left="540" w:hanging="279"/>
      </w:pPr>
      <w:r>
        <w:rPr>
          <w:rFonts w:ascii="Calibri" w:hAnsi="Calibri" w:eastAsia="PingFang SC"/>
          <w:b/>
        </w:rPr>
        <w:t>会影响结果</w:t>
      </w:r>
      <w:r>
        <w:rPr>
          <w:rFonts w:ascii="Calibri" w:hAnsi="Calibri" w:eastAsia="PingFang SC"/>
        </w:rPr>
        <w:t>：至少两条用户信息会改变内容、决策、深度、行动或披露边界；</w:t>
      </w:r>
    </w:p>
    <w:p>
      <w:pPr>
        <w:numPr>
          <w:ilvl w:val="0"/>
          <w:numId w:val="16"/>
        </w:numPr>
        <w:spacing w:after="80" w:line="290" w:lineRule="auto"/>
        <w:ind w:left="540" w:hanging="279"/>
      </w:pPr>
      <w:r>
        <w:rPr>
          <w:rFonts w:ascii="Calibri" w:hAnsi="Calibri" w:eastAsia="PingFang SC"/>
          <w:b/>
        </w:rPr>
        <w:t>两个用户可区分</w:t>
      </w:r>
      <w:r>
        <w:rPr>
          <w:rFonts w:ascii="Calibri" w:hAnsi="Calibri" w:eastAsia="PingFang SC"/>
        </w:rPr>
        <w:t>：盲评者能说清楚两份正确交付物应该在哪里不同；</w:t>
      </w:r>
    </w:p>
    <w:p>
      <w:pPr>
        <w:numPr>
          <w:ilvl w:val="0"/>
          <w:numId w:val="16"/>
        </w:numPr>
        <w:spacing w:after="80" w:line="290" w:lineRule="auto"/>
        <w:ind w:left="540" w:hanging="279"/>
      </w:pPr>
      <w:r>
        <w:rPr>
          <w:rFonts w:ascii="Calibri" w:hAnsi="Calibri" w:eastAsia="PingFang SC"/>
          <w:b/>
        </w:rPr>
        <w:t>仍有共同核心</w:t>
      </w:r>
      <w:r>
        <w:rPr>
          <w:rFonts w:ascii="Calibri" w:hAnsi="Calibri" w:eastAsia="PingFang SC"/>
        </w:rPr>
        <w:t>：事实、证据和基本质量要求不能随用户改变；</w:t>
      </w:r>
    </w:p>
    <w:p>
      <w:pPr>
        <w:numPr>
          <w:ilvl w:val="0"/>
          <w:numId w:val="16"/>
        </w:numPr>
        <w:spacing w:after="80" w:line="290" w:lineRule="auto"/>
        <w:ind w:left="540" w:hanging="279"/>
      </w:pPr>
      <w:r>
        <w:rPr>
          <w:rFonts w:ascii="Calibri" w:hAnsi="Calibri" w:eastAsia="PingFang SC"/>
          <w:b/>
        </w:rPr>
        <w:t>信息最少且隐私可控</w:t>
      </w:r>
      <w:r>
        <w:rPr>
          <w:rFonts w:ascii="Calibri" w:hAnsi="Calibri" w:eastAsia="PingFang SC"/>
        </w:rPr>
        <w:t>：不加入完成任务不需要的个人信息；</w:t>
      </w:r>
    </w:p>
    <w:p>
      <w:pPr>
        <w:numPr>
          <w:ilvl w:val="0"/>
          <w:numId w:val="16"/>
        </w:numPr>
        <w:spacing w:after="80" w:line="290" w:lineRule="auto"/>
        <w:ind w:left="540" w:hanging="279"/>
      </w:pPr>
      <w:r>
        <w:rPr>
          <w:rFonts w:ascii="Calibri" w:hAnsi="Calibri" w:eastAsia="PingFang SC"/>
          <w:b/>
        </w:rPr>
        <w:t>不靠刻板印象</w:t>
      </w:r>
      <w:r>
        <w:rPr>
          <w:rFonts w:ascii="Calibri" w:hAnsi="Calibri" w:eastAsia="PingFang SC"/>
        </w:rPr>
        <w:t>：关键偏好必须来自用户确认，不能由年龄、性别、职业等代理属性猜测。</w:t>
      </w:r>
    </w:p>
    <w:p>
      <w:pPr>
        <w:pStyle w:val="Heading2"/>
      </w:pPr>
      <w:r>
        <w:t>4.3 用户信息来源</w:t>
      </w:r>
    </w:p>
    <w:p>
      <w:pPr>
        <w:pStyle w:val="ListBullet"/>
      </w:pPr>
      <w:r>
        <w:rPr>
          <w:rFonts w:ascii="Courier New" w:hAnsi="Courier New" w:eastAsia="PingFang SC"/>
          <w:color w:val="6A3E00"/>
          <w:sz w:val="20"/>
        </w:rPr>
        <w:t>real_user_gold</w:t>
      </w:r>
      <w:r>
        <w:rPr>
          <w:rFonts w:ascii="Calibri" w:hAnsi="Calibri" w:eastAsia="PingFang SC"/>
        </w:rPr>
        <w:t>：由真实用户确认的关键信息；</w:t>
      </w:r>
    </w:p>
    <w:p>
      <w:pPr>
        <w:pStyle w:val="ListBullet"/>
      </w:pPr>
      <w:r>
        <w:rPr>
          <w:rFonts w:ascii="Courier New" w:hAnsi="Courier New" w:eastAsia="PingFang SC"/>
          <w:color w:val="6A3E00"/>
          <w:sz w:val="20"/>
        </w:rPr>
        <w:t>user_anchored</w:t>
      </w:r>
      <w:r>
        <w:rPr>
          <w:rFonts w:ascii="Calibri" w:hAnsi="Calibri" w:eastAsia="PingFang SC"/>
        </w:rPr>
        <w:t>：从真实需求出发，经过隐私抽象后的主数据；</w:t>
      </w:r>
    </w:p>
    <w:p>
      <w:pPr>
        <w:pStyle w:val="ListBullet"/>
      </w:pPr>
      <w:r>
        <w:rPr>
          <w:rFonts w:ascii="Courier New" w:hAnsi="Courier New" w:eastAsia="PingFang SC"/>
          <w:color w:val="6A3E00"/>
          <w:sz w:val="20"/>
        </w:rPr>
        <w:t>synthetic_control</w:t>
      </w:r>
      <w:r>
        <w:rPr>
          <w:rFonts w:ascii="Calibri" w:hAnsi="Calibri" w:eastAsia="PingFang SC"/>
        </w:rPr>
        <w:t>：只用于错配、无关信息等负对照。</w:t>
      </w:r>
    </w:p>
    <w:p>
      <w:r>
        <w:rPr>
          <w:rFonts w:ascii="Calibri" w:hAnsi="Calibri" w:eastAsia="PingFang SC"/>
        </w:rPr>
        <w:t>研究者自己推断但用户没有确认的偏好不能成为 gold。</w:t>
      </w:r>
    </w:p>
    <w:p>
      <w:pPr>
        <w:pStyle w:val="Heading2"/>
      </w:pPr>
      <w:r>
        <w:t>4.4 每个 user-task 的真值包</w:t>
      </w:r>
    </w:p>
    <w:p>
      <w:pPr>
        <w:pStyle w:val="ListBullet"/>
      </w:pPr>
      <w:r>
        <w:rPr>
          <w:rFonts w:ascii="Calibri" w:hAnsi="Calibri" w:eastAsia="PingFang SC"/>
        </w:rPr>
        <w:t>所有用户都必须满足的共同要求；</w:t>
      </w:r>
    </w:p>
    <w:p>
      <w:pPr>
        <w:pStyle w:val="ListBullet"/>
      </w:pPr>
      <w:r>
        <w:rPr>
          <w:rFonts w:ascii="Calibri" w:hAnsi="Calibri" w:eastAsia="PingFang SC"/>
        </w:rPr>
        <w:t>目标用户必须满足的特异要求；</w:t>
      </w:r>
    </w:p>
    <w:p>
      <w:pPr>
        <w:pStyle w:val="ListBullet"/>
      </w:pPr>
      <w:r>
        <w:rPr>
          <w:rFonts w:ascii="Calibri" w:hAnsi="Calibri" w:eastAsia="PingFang SC"/>
        </w:rPr>
        <w:t>不得假设、不得披露或不得执行的事项；</w:t>
      </w:r>
    </w:p>
    <w:p>
      <w:pPr>
        <w:pStyle w:val="ListBullet"/>
      </w:pPr>
      <w:r>
        <w:rPr>
          <w:rFonts w:ascii="Calibri" w:hAnsi="Calibri" w:eastAsia="PingFang SC"/>
        </w:rPr>
        <w:t>可以接受的替代做法；</w:t>
      </w:r>
    </w:p>
    <w:p>
      <w:pPr>
        <w:pStyle w:val="ListBullet"/>
      </w:pPr>
      <w:r>
        <w:rPr>
          <w:rFonts w:ascii="Calibri" w:hAnsi="Calibri" w:eastAsia="PingFang SC"/>
        </w:rPr>
        <w:t>关键事实与证据；</w:t>
      </w:r>
    </w:p>
    <w:p>
      <w:pPr>
        <w:pStyle w:val="ListBullet"/>
      </w:pPr>
      <w:r>
        <w:rPr>
          <w:rFonts w:ascii="Calibri" w:hAnsi="Calibri" w:eastAsia="PingFang SC"/>
        </w:rPr>
        <w:t>严重错误对应的分数封顶；</w:t>
      </w:r>
    </w:p>
    <w:p>
      <w:pPr>
        <w:pStyle w:val="ListBullet"/>
      </w:pPr>
      <w:r>
        <w:rPr>
          <w:rFonts w:ascii="Calibri" w:hAnsi="Calibri" w:eastAsia="PingFang SC"/>
        </w:rPr>
        <w:t>应该澄清的问题以及可以不提问的替代路径；</w:t>
      </w:r>
    </w:p>
    <w:p>
      <w:pPr>
        <w:pStyle w:val="ListBullet"/>
      </w:pPr>
      <w:r>
        <w:rPr>
          <w:rFonts w:ascii="Calibri" w:hAnsi="Calibri" w:eastAsia="PingFang SC"/>
        </w:rPr>
        <w:t>两个用户的正确交付物应该在哪里不同、哪里相同。</w:t>
      </w:r>
    </w:p>
    <w:p>
      <w:r>
        <w:rPr>
          <w:rFonts w:ascii="Calibri" w:hAnsi="Calibri" w:eastAsia="PingFang SC"/>
        </w:rPr>
        <w:t>这些内容必须在模型运行前冻结。LLM 可以帮助检查遗漏，但不能单独决定 gold。</w:t>
      </w:r>
    </w:p>
    <w:p>
      <w:r>
        <w:rPr>
          <w:rFonts w:ascii="Calibri" w:hAnsi="Calibri" w:eastAsia="PingFang SC"/>
        </w:rPr>
        <w:t>人评也不能混成一个角色。领域专家或训练过的标注者检查事实、证据、共同质量和 must-hold；目标用户本人确认 must-change / must-not，并在不知道报告来自哪个条件时比较 matched 与 swapped。所有 real-user-gold family 和至少 8 个分层 family 都要有这种目标用户盲评；合成 persona 只用于可控压力测试和 judge 对抗题。MyScholarQA 已经说明，合成用户与 LLM judge 会漏掉真人真正介意的个性化错误。</w:t>
      </w:r>
      <w:hyperlink r:id="rId37">
        <w:r>
          <w:rPr>
            <w:rFonts w:ascii="Calibri" w:hAnsi="Calibri" w:eastAsia="PingFang SC"/>
            <w:color w:val="2E74B5"/>
            <w:u w:val="single"/>
          </w:rPr>
          <w:t>[28]</w:t>
        </w:r>
      </w:hyperlink>
    </w:p>
    <w:p>
      <w:pPr>
        <w:pStyle w:val="Heading1"/>
      </w:pPr>
      <w:r>
        <w:t>5. 实验如何运行</w:t>
      </w:r>
    </w:p>
    <w:p>
      <w:pPr>
        <w:pStyle w:val="Heading2"/>
      </w:pPr>
      <w:r>
        <w:t>5.1 核心矩阵</w:t>
      </w:r>
    </w:p>
    <w:p>
      <w:r>
        <w:rPr>
          <w:rFonts w:ascii="Calibri" w:hAnsi="Calibri" w:eastAsia="PingFang SC"/>
        </w:rPr>
        <w:t>核心实验不再是 576 个 artifact episode 的笛卡尔积，而是两层：Phase A 为每个 family 生成并配平 task-only、matched、swapped 报告；Phase B 在等价 task shell 上把三种报告随机分配给真实用户。离线可以多跑报告，真人 trial 的功效优先。</w:t>
      </w:r>
    </w:p>
    <w:p>
      <w:r>
        <w:rPr>
          <w:rFonts w:ascii="Calibri" w:hAnsi="Calibri" w:eastAsia="PingFang SC"/>
        </w:rPr>
        <w:t>三类核心 agent 是：M1 商业 Deep Research 产品、M2 在统一搜索和工具条件下运行的通用 harness、M3 可复现开源 DRA。M4 code agent、M5 multi-agent、M6 memory-enhanced 是架构 probe，只在适合的 anchor 上运行。</w:t>
      </w:r>
    </w:p>
    <w:p>
      <w:r>
        <w:rPr>
          <w:rFonts w:ascii="Calibri" w:hAnsi="Calibri" w:eastAsia="PingFang SC"/>
        </w:rPr>
        <w:t>代码 agent、多 agent、记忆增强系统和第二个商业产品不进入首轮主比较；只有主 DDE 设计跑通后，才在少量适用 family 作外部效度 probe。</w:t>
      </w:r>
    </w:p>
    <w:p>
      <w:pPr>
        <w:pStyle w:val="Heading2"/>
      </w:pPr>
      <w:r>
        <w:t>5.2 三条评测轨道</w:t>
      </w:r>
    </w:p>
    <w:p>
      <w:pPr>
        <w:pStyle w:val="ListBullet"/>
      </w:pPr>
      <w:r>
        <w:rPr>
          <w:rFonts w:ascii="Calibri" w:hAnsi="Calibri" w:eastAsia="PingFang SC"/>
          <w:b/>
        </w:rPr>
        <w:t>E1 Frozen Harness</w:t>
      </w:r>
      <w:r>
        <w:rPr>
          <w:rFonts w:ascii="Calibri" w:hAnsi="Calibri" w:eastAsia="PingFang SC"/>
        </w:rPr>
        <w:t>：只读证据快照、统一工具和预算；每次 reset 后以同一 seed 成对运行，形成因果主榜；</w:t>
      </w:r>
    </w:p>
    <w:p>
      <w:pPr>
        <w:pStyle w:val="ListBullet"/>
      </w:pPr>
      <w:r>
        <w:rPr>
          <w:rFonts w:ascii="Calibri" w:hAnsi="Calibri" w:eastAsia="PingFang SC"/>
          <w:b/>
        </w:rPr>
        <w:t>E2 Live Product/Web</w:t>
      </w:r>
      <w:r>
        <w:rPr>
          <w:rFonts w:ascii="Calibri" w:hAnsi="Calibri" w:eastAsia="PingFang SC"/>
        </w:rPr>
        <w:t>：系统使用原生搜索和规划；记录日期、地区、订阅、版本、工具和 URL 快照，形成产品榜；</w:t>
      </w:r>
    </w:p>
    <w:p>
      <w:pPr>
        <w:pStyle w:val="ListBullet"/>
      </w:pPr>
      <w:r>
        <w:rPr>
          <w:rFonts w:ascii="Calibri" w:hAnsi="Calibri" w:eastAsia="PingFang SC"/>
          <w:b/>
        </w:rPr>
        <w:t>E3 Stateful Sandbox</w:t>
      </w:r>
      <w:r>
        <w:rPr>
          <w:rFonts w:ascii="Calibri" w:hAnsi="Calibri" w:eastAsia="PingFang SC"/>
        </w:rPr>
        <w:t>：事件脚本在固定 checkpoint 注入澄清、冲突、handoff 和动态更新，共享前缀后分叉，形成压力与机制榜。</w:t>
      </w:r>
    </w:p>
    <w:p>
      <w:r>
        <w:rPr>
          <w:rFonts w:ascii="Calibri" w:hAnsi="Calibri" w:eastAsia="PingFang SC"/>
        </w:rPr>
        <w:t>三条轨道是运行环境，不是 agent 类型。统一 adapter 至少要能 reset、提供 signal、运行到 checkpoint、注入 event、导出 artifact，并声明能保存 artifact-only、tool events、message events 还是 full state。三条轨道不能混成一个总榜。</w:t>
      </w:r>
    </w:p>
    <w:p>
      <w:r>
        <w:rPr>
          <w:rFonts w:ascii="Calibri" w:hAnsi="Calibri" w:eastAsia="PingFang SC"/>
        </w:rPr>
        <w:t>不建议现在同时把三条都搭完整。先用 2 个 family、2 个 agent 把 E1 从 reset 跑到 2×2 评分；然后用 1 个 anchor 搭 E3 的 checkpoint、冲突和更新；最后拿 1 个商业产品做 E2 记录 smoke test。E1 和一个 E3 事件跑不通前，不要批量写几十个 task。</w:t>
      </w:r>
    </w:p>
    <w:p>
      <w:pPr>
        <w:pStyle w:val="Heading2"/>
      </w:pPr>
      <w:r>
        <w:t>5.3 压力测试</w:t>
      </w:r>
    </w:p>
    <w:p>
      <w:r>
        <w:rPr>
          <w:rFonts w:ascii="Calibri" w:hAnsi="Calibri" w:eastAsia="PingFang SC"/>
        </w:rPr>
        <w:t>这里要分清两件事：</w:t>
      </w:r>
      <w:r>
        <w:rPr>
          <w:rFonts w:ascii="Calibri" w:hAnsi="Calibri" w:eastAsia="PingFang SC"/>
          <w:b/>
        </w:rPr>
        <w:t>三臂报告处理</w:t>
      </w:r>
      <w:r>
        <w:rPr>
          <w:rFonts w:ascii="Calibri" w:hAnsi="Calibri" w:eastAsia="PingFang SC"/>
        </w:rPr>
        <w:t>用于估计 DDE；</w:t>
      </w:r>
      <w:r>
        <w:rPr>
          <w:rFonts w:ascii="Calibri" w:hAnsi="Calibri" w:eastAsia="PingFang SC"/>
          <w:b/>
        </w:rPr>
        <w:t>压力测试</w:t>
      </w:r>
      <w:r>
        <w:rPr>
          <w:rFonts w:ascii="Calibri" w:hAnsi="Calibri" w:eastAsia="PingFang SC"/>
        </w:rPr>
        <w:t>是在已通过主设计的 family 上单独改一个因素。首版只选 2–4 个适用 family 承担压力，不再预设 8 个 anchor。</w:t>
      </w:r>
    </w:p>
    <w:p>
      <w:r>
        <w:rPr>
          <w:rFonts w:ascii="Calibri" w:hAnsi="Calibri" w:eastAsia="PingFang SC"/>
        </w:rPr>
        <w:t>先固定目标用户、任务、证据和预算，再做以下配对改变：</w:t>
      </w:r>
    </w:p>
    <w:p>
      <w:pPr>
        <w:pStyle w:val="ListBullet"/>
      </w:pPr>
      <w:r>
        <w:rPr>
          <w:rFonts w:ascii="Calibri" w:hAnsi="Calibri" w:eastAsia="PingFang SC"/>
        </w:rPr>
        <w:t>把用户 A 的 persona 错配给用户 B；</w:t>
      </w:r>
    </w:p>
    <w:p>
      <w:pPr>
        <w:pStyle w:val="ListBullet"/>
      </w:pPr>
      <w:r>
        <w:rPr>
          <w:rFonts w:ascii="Calibri" w:hAnsi="Calibri" w:eastAsia="PingFang SC"/>
        </w:rPr>
        <w:t>加入与任务无关的个人信息；</w:t>
      </w:r>
    </w:p>
    <w:p>
      <w:pPr>
        <w:pStyle w:val="ListBullet"/>
      </w:pPr>
      <w:r>
        <w:rPr>
          <w:rFonts w:ascii="Calibri" w:hAnsi="Calibri" w:eastAsia="PingFang SC"/>
        </w:rPr>
        <w:t>同时提供新旧冲突信息；</w:t>
      </w:r>
    </w:p>
    <w:p>
      <w:pPr>
        <w:pStyle w:val="ListBullet"/>
      </w:pPr>
      <w:r>
        <w:rPr>
          <w:rFonts w:ascii="Calibri" w:hAnsi="Calibri" w:eastAsia="PingFang SC"/>
        </w:rPr>
        <w:t>把关键信息埋进更长上下文；</w:t>
      </w:r>
    </w:p>
    <w:p>
      <w:pPr>
        <w:pStyle w:val="ListBullet"/>
      </w:pPr>
      <w:r>
        <w:rPr>
          <w:rFonts w:ascii="Calibri" w:hAnsi="Calibri" w:eastAsia="PingFang SC"/>
        </w:rPr>
        <w:t>在子 agent 交接时删除或保留用户模型；</w:t>
      </w:r>
    </w:p>
    <w:p>
      <w:pPr>
        <w:pStyle w:val="ListBullet"/>
      </w:pPr>
      <w:r>
        <w:rPr>
          <w:rFonts w:ascii="Calibri" w:hAnsi="Calibri" w:eastAsia="PingFang SC"/>
        </w:rPr>
        <w:t>用户中途更新目标。</w:t>
      </w:r>
    </w:p>
    <w:p>
      <w:r>
        <w:rPr>
          <w:rFonts w:ascii="Calibri" w:hAnsi="Calibri" w:eastAsia="PingFang SC"/>
        </w:rPr>
        <w:t>压力层不预先绑定八类主题。只在 2–4 个已经通过 DDE 主设计的 family 上选择自然适用的冲突、稀释、handoff 或动态更新；覆盖不足时只作探索性案例，不声称跨任务机制。</w:t>
      </w:r>
    </w:p>
    <w:p>
      <w:r>
        <w:rPr>
          <w:rFonts w:ascii="Calibri" w:hAnsi="Calibri" w:eastAsia="PingFang SC"/>
        </w:rPr>
        <w:t>所以 anchor 真正回答的是：“固定任务、证据、预算和前缀后，long-context dilution / stale conflict / handoff / update 让 CFA、PF、invariance 或 MP 改变多少？”它不能仅凭“某类任务平均低”回答内部根因。只有轨迹可比时，才进一步把结果和 acquire/preserve/use/update 的过程证据联系起来。</w:t>
      </w:r>
    </w:p>
    <w:p>
      <w:r>
        <w:rPr>
          <w:rFonts w:ascii="Calibri" w:hAnsi="Calibri" w:eastAsia="PingFang SC"/>
        </w:rPr>
        <w:t>每个扰动都要记录：什么保持不变、改了什么、何时插入、agent 当时能看见什么、配对 clean run 是哪一个，以及哪些结果应该变化/保持。对应指标分别是 ΔPF、无关信息 invariance、冲突解析率、PF retention/AUC、handoff loss、update correctness 和旧状态残留率；同时检查事实、共同质量、长度和隐私是否受损。</w:t>
      </w:r>
    </w:p>
    <w:p>
      <w:pPr>
        <w:pStyle w:val="Heading1"/>
      </w:pPr>
      <w:r>
        <w:t>6. 最终交付物和过程分别怎么评</w:t>
      </w:r>
    </w:p>
    <w:p>
      <w:pPr>
        <w:pStyle w:val="Heading2"/>
      </w:pPr>
      <w:r>
        <w:t>6.1 最终交付物是主榜对象</w:t>
      </w:r>
    </w:p>
    <w:p>
      <w:r>
        <w:rPr>
          <w:rFonts w:ascii="Calibri" w:hAnsi="Calibri" w:eastAsia="PingFang SC"/>
        </w:rPr>
        <w:t>论文的主要问题是“最后交付的报告、代码、表格或网页是否适合用户”，所以最终交付物可以作为主榜对象。它能回答：结果是否适合用户、matched 是否优于 swapped、个性化是否损害事实性、是否出现泄露或过度迎合。</w:t>
      </w:r>
    </w:p>
    <w:p>
      <w:pPr>
        <w:pStyle w:val="Heading2"/>
      </w:pPr>
      <w:r>
        <w:t>6.2 只看最终结果不能解释所有机制</w:t>
      </w:r>
    </w:p>
    <w:p>
      <w:r>
        <w:rPr>
          <w:rFonts w:ascii="Calibri" w:hAnsi="Calibri" w:eastAsia="PingFang SC"/>
        </w:rPr>
        <w:t>如果报告没有体现用户约束，仅看最后结果无法知道 agent 是从未读取、执行中忘记，还是记得但没有使用。因此：</w:t>
      </w:r>
    </w:p>
    <w:p>
      <w:pPr>
        <w:pStyle w:val="ListBullet"/>
      </w:pPr>
      <w:r>
        <w:rPr>
          <w:rFonts w:ascii="Calibri" w:hAnsi="Calibri" w:eastAsia="PingFang SC"/>
        </w:rPr>
        <w:t>全部样本保存必要的工具调用、检索、权限访问和交付物；</w:t>
      </w:r>
    </w:p>
    <w:p>
      <w:pPr>
        <w:pStyle w:val="ListBullet"/>
      </w:pPr>
      <w:r>
        <w:rPr>
          <w:rFonts w:ascii="Calibri" w:hAnsi="Calibri" w:eastAsia="PingFang SC"/>
        </w:rPr>
        <w:t>过程记录主要用于隐私和权限硬检查；</w:t>
      </w:r>
    </w:p>
    <w:p>
      <w:pPr>
        <w:pStyle w:val="ListBullet"/>
      </w:pPr>
      <w:r>
        <w:rPr>
          <w:rFonts w:ascii="Calibri" w:hAnsi="Calibri" w:eastAsia="PingFang SC"/>
        </w:rPr>
        <w:t>20%–30% 子集做受控压力分叉，用 memory ablation、handoff 和 dynamic update 定位保持与更新问题；</w:t>
      </w:r>
    </w:p>
    <w:p>
      <w:pPr>
        <w:pStyle w:val="ListBullet"/>
      </w:pPr>
      <w:r>
        <w:rPr>
          <w:rFonts w:ascii="Calibri" w:hAnsi="Calibri" w:eastAsia="PingFang SC"/>
        </w:rPr>
        <w:t>不做昂贵的逐句人工轨迹标注。</w:t>
      </w:r>
    </w:p>
    <w:p>
      <w:r>
        <w:rPr>
          <w:rFonts w:ascii="Calibri" w:hAnsi="Calibri" w:eastAsia="PingFang SC"/>
        </w:rPr>
        <w:t>如果最后只完成 final-only 评测，论文必须把“获取、保持、利用、更新”的机制性结论降级，不能用最终输出反推内部原因。</w:t>
      </w:r>
    </w:p>
    <w:p>
      <w:pPr>
        <w:pStyle w:val="Heading1"/>
      </w:pPr>
      <w:r>
        <w:t>7. Rubric 如何适配不同任务</w:t>
      </w:r>
    </w:p>
    <w:p>
      <w:pPr>
        <w:pStyle w:val="Heading2"/>
      </w:pPr>
      <w:r>
        <w:t>7.1 不是所有任务共用一张表</w:t>
      </w:r>
    </w:p>
    <w:p>
      <w:r>
        <w:rPr>
          <w:rFonts w:ascii="Calibri" w:hAnsi="Calibri" w:eastAsia="PingFang SC"/>
        </w:rPr>
        <w:t>现在有四个机器可读的 compiler contract，而不只是一句“根据元数据生成 rubric”：</w:t>
      </w:r>
    </w:p>
    <w:p>
      <w:pPr>
        <w:pStyle w:val="ListBullet"/>
      </w:pPr>
      <w:r>
        <w:rPr>
          <w:rFonts w:ascii="Courier New" w:hAnsi="Courier New" w:eastAsia="PingFang SC"/>
          <w:color w:val="6A3E00"/>
          <w:sz w:val="20"/>
        </w:rPr>
        <w:t>case.schema.yaml</w:t>
      </w:r>
      <w:r>
        <w:rPr>
          <w:rFonts w:ascii="Calibri" w:hAnsi="Calibri" w:eastAsia="PingFang SC"/>
        </w:rPr>
        <w:t>：这个 case 是什么任务、什么用户、什么环境、测什么 agent；</w:t>
      </w:r>
    </w:p>
    <w:p>
      <w:pPr>
        <w:pStyle w:val="ListBullet"/>
      </w:pPr>
      <w:r>
        <w:rPr>
          <w:rFonts w:ascii="Courier New" w:hAnsi="Courier New" w:eastAsia="PingFang SC"/>
          <w:color w:val="6A3E00"/>
          <w:sz w:val="20"/>
        </w:rPr>
        <w:t>rubric_template_registry.yaml</w:t>
      </w:r>
      <w:r>
        <w:rPr>
          <w:rFonts w:ascii="Calibri" w:hAnsi="Calibri" w:eastAsia="PingFang SC"/>
        </w:rPr>
        <w:t>：有哪些固定模板、什么元数据会激活它们；</w:t>
      </w:r>
    </w:p>
    <w:p>
      <w:pPr>
        <w:pStyle w:val="ListBullet"/>
      </w:pPr>
      <w:r>
        <w:rPr>
          <w:rFonts w:ascii="Courier New" w:hAnsi="Courier New" w:eastAsia="PingFang SC"/>
          <w:color w:val="6A3E00"/>
          <w:sz w:val="20"/>
        </w:rPr>
        <w:t>rubric_leaf.schema.yaml</w:t>
      </w:r>
      <w:r>
        <w:rPr>
          <w:rFonts w:ascii="Calibri" w:hAnsi="Calibri" w:eastAsia="PingFang SC"/>
        </w:rPr>
        <w:t>：每条最小评分项必须有哪些字段；</w:t>
      </w:r>
    </w:p>
    <w:p>
      <w:pPr>
        <w:pStyle w:val="ListBullet"/>
      </w:pPr>
      <w:r>
        <w:rPr>
          <w:rFonts w:ascii="Courier New" w:hAnsi="Courier New" w:eastAsia="PingFang SC"/>
          <w:color w:val="6A3E00"/>
          <w:sz w:val="20"/>
        </w:rPr>
        <w:t>metric_binding.schema.yaml</w:t>
      </w:r>
      <w:r>
        <w:rPr>
          <w:rFonts w:ascii="Calibri" w:hAnsi="Calibri" w:eastAsia="PingFang SC"/>
        </w:rPr>
        <w:t>：每条 leaf 进 TQ、FR、PF、MP 中的哪一个，派生指标再怎样计算。</w:t>
      </w:r>
    </w:p>
    <w:p>
      <w:pPr>
        <w:pStyle w:val="ListBullet"/>
      </w:pPr>
      <w:r>
        <w:rPr>
          <w:rFonts w:ascii="Courier New" w:hAnsi="Courier New" w:eastAsia="PingFang SC"/>
          <w:color w:val="6A3E00"/>
          <w:sz w:val="20"/>
        </w:rPr>
        <w:t>rubric_module_library.yaml</w:t>
      </w:r>
      <w:r>
        <w:rPr>
          <w:rFonts w:ascii="Calibri" w:hAnsi="Calibri" w:eastAsia="PingFang SC"/>
        </w:rPr>
        <w:t>：36 个预定义 module 的激活条件、leaf blueprint、binding、judge route 与适用范围；</w:t>
      </w:r>
    </w:p>
    <w:p>
      <w:pPr>
        <w:pStyle w:val="ListBullet"/>
      </w:pPr>
      <w:r>
        <w:rPr>
          <w:rFonts w:ascii="Courier New" w:hAnsi="Courier New" w:eastAsia="PingFang SC"/>
          <w:color w:val="6A3E00"/>
          <w:sz w:val="20"/>
        </w:rPr>
        <w:t>data_factory.protocol.yaml</w:t>
      </w:r>
      <w:r>
        <w:rPr>
          <w:rFonts w:ascii="Calibri" w:hAnsi="Calibri" w:eastAsia="PingFang SC"/>
        </w:rPr>
        <w:t>：从文献来源、task seed、user pair、contract 到 pilot 的造数顺序。</w:t>
      </w:r>
    </w:p>
    <w:p>
      <w:pPr>
        <w:pStyle w:val="ListBullet"/>
      </w:pPr>
      <w:r>
        <w:rPr>
          <w:rFonts w:ascii="Courier New" w:hAnsi="Courier New" w:eastAsia="PingFang SC"/>
          <w:color w:val="6A3E00"/>
          <w:sz w:val="20"/>
        </w:rPr>
        <w:t>rubric_node_registry.yaml</w:t>
      </w:r>
      <w:r>
        <w:rPr>
          <w:rFonts w:ascii="Calibri" w:hAnsi="Calibri" w:eastAsia="PingFang SC"/>
        </w:rPr>
        <w:t>：module 下面可复用的评价方向，以及每个方向需要的参数、证据、锚点和 judge route；</w:t>
      </w:r>
    </w:p>
    <w:p>
      <w:pPr>
        <w:pStyle w:val="ListBullet"/>
      </w:pPr>
      <w:r>
        <w:rPr>
          <w:rFonts w:ascii="Courier New" w:hAnsi="Courier New" w:eastAsia="PingFang SC"/>
          <w:color w:val="6A3E00"/>
          <w:sz w:val="20"/>
        </w:rPr>
        <w:t>construction_annotation.protocol.yaml</w:t>
      </w:r>
      <w:r>
        <w:rPr>
          <w:rFonts w:ascii="Calibri" w:hAnsi="Calibri" w:eastAsia="PingFang SC"/>
        </w:rPr>
        <w:t>、</w:t>
      </w:r>
      <w:r>
        <w:rPr>
          <w:rFonts w:ascii="Courier New" w:hAnsi="Courier New" w:eastAsia="PingFang SC"/>
          <w:color w:val="6A3E00"/>
          <w:sz w:val="20"/>
        </w:rPr>
        <w:t>environment_build.protocol.yaml</w:t>
      </w:r>
      <w:r>
        <w:rPr>
          <w:rFonts w:ascii="Calibri" w:hAnsi="Calibri" w:eastAsia="PingFang SC"/>
        </w:rPr>
        <w:t>：标注与三环境的开工约束。</w:t>
      </w:r>
    </w:p>
    <w:p>
      <w:r>
        <w:rPr>
          <w:rFonts w:ascii="Calibri" w:hAnsi="Calibri" w:eastAsia="PingFang SC"/>
        </w:rPr>
        <w:t>要讲准确：这些文件现在把接口、规则和贯通例子定清了，但自动校验和自动生成 bundle 的程序还没写完。第 1 周要实现 schema validator、模板路由、参数填充、leaf ID/hash、非法绑定拒绝和冻结导出；通过测试后才能叫“可执行 compiler”。</w:t>
      </w:r>
    </w:p>
    <w:p>
      <w:r>
        <w:rPr>
          <w:rFonts w:ascii="Calibri" w:hAnsi="Calibri" w:eastAsia="PingFang SC"/>
        </w:rPr>
        <w:t>Compiler 的实际流程是：</w:t>
      </w:r>
    </w:p>
    <w:p>
      <w:pPr>
        <w:spacing w:before="80" w:after="160" w:line="240" w:lineRule="auto"/>
        <w:ind w:left="360" w:right="216"/>
        <w:jc w:val="left"/>
        <w:shd w:fill="EEF2F5"/>
      </w:pPr>
      <w:r>
        <w:rPr>
          <w:rFonts w:ascii="Courier New" w:hAnsi="Courier New" w:eastAsia="PingFang SC"/>
          <w:color w:val="163A63"/>
          <w:sz w:val="18"/>
        </w:rPr>
        <w:t>冻结的 case metadata + user facts + 四类 contract + evidence/permission</w:t>
        <w:br/>
        <w:t>→ 校验输入</w:t>
        <w:br/>
        <w:t>→ 按 intent / deliverable / operator / risk 选 module</w:t>
        <w:br/>
        <w:t>→ 从 registry 选适用 direction node</w:t>
        <w:br/>
        <w:t>→ 把预算、截止时间、用户、证据等填进模板</w:t>
        <w:br/>
        <w:t>→ leaf expansion：拆成可单独判断的原子项</w:t>
        <w:br/>
        <w:t>→ 检查覆盖、冲突、A/B 对称性、隐私和区分力</w:t>
        <w:br/>
        <w:t>→ 冻结 rubric bundle，再运行所有 agent</w:t>
      </w:r>
    </w:p>
    <w:p>
      <w:r>
        <w:rPr>
          <w:rFonts w:ascii="Calibri" w:hAnsi="Calibri" w:eastAsia="PingFang SC"/>
        </w:rPr>
        <w:t>每个 case 的模板来自六层：</w:t>
      </w:r>
    </w:p>
    <w:p>
      <w:pPr>
        <w:spacing w:before="80" w:after="160" w:line="240" w:lineRule="auto"/>
        <w:ind w:left="360" w:right="216"/>
        <w:jc w:val="left"/>
        <w:shd w:fill="EEF2F5"/>
      </w:pPr>
      <w:r>
        <w:rPr>
          <w:rFonts w:ascii="Courier New" w:hAnsi="Courier New" w:eastAsia="PingFang SC"/>
          <w:color w:val="163A63"/>
          <w:sz w:val="18"/>
        </w:rPr>
        <w:t>共同质量</w:t>
        <w:br/>
        <w:t>+ 个性化</w:t>
        <w:br/>
        <w:t>+ 研究意图</w:t>
        <w:br/>
        <w:t>+ 交付物类型</w:t>
        <w:br/>
        <w:t>+ 行为测试</w:t>
        <w:br/>
        <w:t>+ 风险模块</w:t>
        <w:br/>
        <w:t>= 当前 case 的 rubric</w:t>
      </w:r>
    </w:p>
    <w:p>
      <w:r>
        <w:rPr>
          <w:rFonts w:ascii="Calibri" w:hAnsi="Calibri" w:eastAsia="PingFang SC"/>
        </w:rPr>
        <w:t xml:space="preserve">所有 rubric 叶节点使用同一数据格式，但只有适用的模块才会被激活。例如 </w:t>
      </w:r>
      <w:r>
        <w:rPr>
          <w:rFonts w:ascii="Courier New" w:hAnsi="Courier New" w:eastAsia="PingFang SC"/>
          <w:color w:val="6A3E00"/>
          <w:sz w:val="20"/>
        </w:rPr>
        <w:t>compare_decide + decision_memo</w:t>
      </w:r>
      <w:r>
        <w:rPr>
          <w:rFonts w:ascii="Calibri" w:hAnsi="Calibri" w:eastAsia="PingFang SC"/>
        </w:rPr>
        <w:t xml:space="preserve"> 会选“比较方案、给出决策和 trade-off”的 intent 模板，以及“执行摘要、选择标准、风险边界、下一步”的 memo 模板；</w:t>
      </w:r>
      <w:r>
        <w:rPr>
          <w:rFonts w:ascii="Courier New" w:hAnsi="Courier New" w:eastAsia="PingFang SC"/>
          <w:color w:val="6A3E00"/>
          <w:sz w:val="20"/>
        </w:rPr>
        <w:t>code_and_docs</w:t>
      </w:r>
      <w:r>
        <w:rPr>
          <w:rFonts w:ascii="Calibri" w:hAnsi="Calibri" w:eastAsia="PingFang SC"/>
        </w:rPr>
        <w:t xml:space="preserve"> 则换成可运行测试、依赖和复现说明模板。领域事实只是填入模板的参数，医疗 claim 和市场 claim 仍使用同一种 evidence leaf schema，但由不同证据和专家阈值判定。</w:t>
      </w:r>
    </w:p>
    <w:p>
      <w:pPr>
        <w:pStyle w:val="Heading2"/>
      </w:pPr>
      <w:r>
        <w:t>7.1.1 预定义 module library 长什么样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000"/>
        <w:gridCol w:w="2520"/>
        <w:gridCol w:w="2340"/>
      </w:tblGrid>
      <w:tr>
        <w:trPr>
          <w:tblHeader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40" w:line="259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PingFang SC"/>
                <w:b/>
                <w:color w:val="163A63"/>
                <w:sz w:val="18"/>
              </w:rPr>
              <w:t>Family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40" w:line="259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PingFang SC"/>
                <w:b/>
                <w:color w:val="163A63"/>
                <w:sz w:val="18"/>
              </w:rPr>
              <w:t>数量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40" w:line="259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PingFang SC"/>
                <w:b/>
                <w:color w:val="163A63"/>
                <w:sz w:val="18"/>
              </w:rPr>
              <w:t>例子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40" w:line="259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PingFang SC"/>
                <w:b/>
                <w:color w:val="163A63"/>
                <w:sz w:val="18"/>
              </w:rPr>
              <w:t>什么时候用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 w:eastAsia="PingFang SC"/>
                <w:sz w:val="18"/>
              </w:rPr>
              <w:t>Core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/>
            <w:r>
              <w:rPr>
                <w:rFonts w:ascii="Calibri" w:hAnsi="Calibri" w:eastAsia="PingFang SC"/>
                <w:sz w:val="18"/>
              </w:rPr>
              <w:t>6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/>
            <w:r>
              <w:rPr>
                <w:rFonts w:ascii="Calibri" w:hAnsi="Calibri" w:eastAsia="PingFang SC"/>
                <w:sz w:val="18"/>
              </w:rPr>
              <w:t>任务、事实、证据、推理、不确定性、可用性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/>
            <w:r>
              <w:rPr>
                <w:rFonts w:ascii="Calibri" w:hAnsi="Calibri" w:eastAsia="PingFang SC"/>
                <w:sz w:val="18"/>
              </w:rPr>
              <w:t>所有 case 必选/条件选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 w:eastAsia="PingFang SC"/>
                <w:sz w:val="18"/>
              </w:rPr>
              <w:t>Personalization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/>
            <w:r>
              <w:rPr>
                <w:rFonts w:ascii="Calibri" w:hAnsi="Calibri" w:eastAsia="PingFang SC"/>
                <w:sz w:val="18"/>
              </w:rPr>
              <w:t>9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/>
            <w:r>
              <w:rPr>
                <w:rFonts w:ascii="Calibri" w:hAnsi="Calibri" w:eastAsia="PingFang SC"/>
                <w:sz w:val="18"/>
              </w:rPr>
              <w:t>目标、内容、知识、约束、风险、工作流、受众、格式、动态状态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/>
            <w:r>
              <w:rPr>
                <w:rFonts w:ascii="Calibri" w:hAnsi="Calibri" w:eastAsia="PingFang SC"/>
                <w:sz w:val="18"/>
              </w:rPr>
              <w:t>有授权 user fact + must-change 才激活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 w:eastAsia="PingFang SC"/>
                <w:sz w:val="18"/>
              </w:rPr>
              <w:t>Intent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/>
            <w:r>
              <w:rPr>
                <w:rFonts w:ascii="Calibri" w:hAnsi="Calibri" w:eastAsia="PingFang SC"/>
                <w:sz w:val="18"/>
              </w:rPr>
              <w:t>6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/>
            <w:r>
              <w:rPr>
                <w:rFonts w:ascii="Calibri" w:hAnsi="Calibri" w:eastAsia="PingFang SC"/>
                <w:sz w:val="18"/>
              </w:rPr>
              <w:t>synthesis / discover / decide / assess / plan / audit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/>
            <w:r>
              <w:rPr>
                <w:rFonts w:ascii="Calibri" w:hAnsi="Calibri" w:eastAsia="PingFang SC"/>
                <w:sz w:val="18"/>
              </w:rPr>
              <w:t>每个 case 主选 1 个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 w:eastAsia="PingFang SC"/>
                <w:sz w:val="18"/>
              </w:rPr>
              <w:t>Deliverable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/>
            <w:r>
              <w:rPr>
                <w:rFonts w:ascii="Calibri" w:hAnsi="Calibri" w:eastAsia="PingFang SC"/>
                <w:sz w:val="18"/>
              </w:rPr>
              <w:t>7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/>
            <w:r>
              <w:rPr>
                <w:rFonts w:ascii="Calibri" w:hAnsi="Calibri" w:eastAsia="PingFang SC"/>
                <w:sz w:val="18"/>
              </w:rPr>
              <w:t>report / memo / table / code / slides / web / multi-file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/>
            <w:r>
              <w:rPr>
                <w:rFonts w:ascii="Calibri" w:hAnsi="Calibri" w:eastAsia="PingFang SC"/>
                <w:sz w:val="18"/>
              </w:rPr>
              <w:t>每个 case 主选 1 个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 w:eastAsia="PingFang SC"/>
                <w:sz w:val="18"/>
              </w:rPr>
              <w:t>Operator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/>
            <w:r>
              <w:rPr>
                <w:rFonts w:ascii="Calibri" w:hAnsi="Calibri" w:eastAsia="PingFang SC"/>
                <w:sz w:val="18"/>
              </w:rPr>
              <w:t>4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/>
            <w:r>
              <w:rPr>
                <w:rFonts w:ascii="Calibri" w:hAnsi="Calibri" w:eastAsia="PingFang SC"/>
                <w:sz w:val="18"/>
              </w:rPr>
              <w:t>acquire / preserve / use / update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/>
            <w:r>
              <w:rPr>
                <w:rFonts w:ascii="Calibri" w:hAnsi="Calibri" w:eastAsia="PingFang SC"/>
                <w:sz w:val="18"/>
              </w:rPr>
              <w:t>受控诊断，不从 final-only 猜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 w:eastAsia="PingFang SC"/>
                <w:sz w:val="18"/>
              </w:rPr>
              <w:t>Risk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/>
            <w:r>
              <w:rPr>
                <w:rFonts w:ascii="Calibri" w:hAnsi="Calibri" w:eastAsia="PingFang SC"/>
                <w:sz w:val="18"/>
              </w:rPr>
              <w:t>4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/>
            <w:r>
              <w:rPr>
                <w:rFonts w:ascii="Calibri" w:hAnsi="Calibri" w:eastAsia="PingFang SC"/>
                <w:sz w:val="18"/>
              </w:rPr>
              <w:t>隐私、安全、升级、冲突/过期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/>
            <w:r>
              <w:rPr>
                <w:rFonts w:ascii="Calibri" w:hAnsi="Calibri" w:eastAsia="PingFang SC"/>
                <w:sz w:val="18"/>
              </w:rPr>
              <w:t>风险或 must-not 激活</w:t>
            </w:r>
          </w:p>
        </w:tc>
      </w:tr>
    </w:tbl>
    <w:p>
      <w:pPr>
        <w:spacing w:after="40"/>
      </w:pPr>
    </w:p>
    <w:p>
      <w:r>
        <w:rPr>
          <w:rFonts w:ascii="Calibri" w:hAnsi="Calibri" w:eastAsia="PingFang SC"/>
        </w:rPr>
        <w:t>我们的强处不是 Personalization 从 9 个继续扩到 15 个。模块越多，越容易 double count、调权重、让不同 case 分数不可比。真正的强处是：每个 personalization leaf 都必须有用户事实来源和 must-change；A/B 使用对称的模块形状；同一套 leaves 同时评分 matched/swapped；must-hold 和 must-not 阻止“变化越多越个性化”；最后还有目标用户和 JudgeBench 校准。这比“动态生成一张更细 rubric”更接近可证伪的测量协议。</w:t>
      </w:r>
    </w:p>
    <w:p>
      <w:r>
        <w:rPr>
          <w:rFonts w:ascii="Calibri" w:hAnsi="Calibri" w:eastAsia="PingFang SC"/>
        </w:rPr>
        <w:t>Module、node、leaf 可以这样理解：</w:t>
      </w:r>
      <w:r>
        <w:rPr>
          <w:rFonts w:ascii="Courier New" w:hAnsi="Courier New" w:eastAsia="PingFang SC"/>
          <w:color w:val="6A3E00"/>
          <w:sz w:val="20"/>
        </w:rPr>
        <w:t>PER-CONSTRAINT-04</w:t>
      </w:r>
      <w:r>
        <w:rPr>
          <w:rFonts w:ascii="Calibri" w:hAnsi="Calibri" w:eastAsia="PingFang SC"/>
        </w:rPr>
        <w:t xml:space="preserve"> 是“用户约束”这个大模块，</w:t>
      </w:r>
      <w:r>
        <w:rPr>
          <w:rFonts w:ascii="Courier New" w:hAnsi="Courier New" w:eastAsia="PingFang SC"/>
          <w:color w:val="6A3E00"/>
          <w:sz w:val="20"/>
        </w:rPr>
        <w:t>PER-CONSTRAINT-HARD</w:t>
      </w:r>
      <w:r>
        <w:rPr>
          <w:rFonts w:ascii="Calibri" w:hAnsi="Calibri" w:eastAsia="PingFang SC"/>
        </w:rPr>
        <w:t xml:space="preserve"> 是“满足一个可检查的硬约束”这个方向，具体 leaf 才是“Ua 的第一阶段支出不得超过 50 万”。Node 要提前准备，但不能假装一开始就穷尽所有方向。只有 pilot 中同一种重要残余问题至少在两个 family 重复出现，而且不能用现有 node 加参数表示时，才新增 node；否则只是越做越大的愿望清单。</w:t>
      </w:r>
    </w:p>
    <w:p>
      <w:pPr>
        <w:pStyle w:val="Heading2"/>
      </w:pPr>
      <w:r>
        <w:t>7.2 Leaf expansion 到底是什么意思</w:t>
      </w:r>
    </w:p>
    <w:p>
      <w:r>
        <w:rPr>
          <w:rFonts w:ascii="Calibri" w:hAnsi="Calibri" w:eastAsia="PingFang SC"/>
        </w:rPr>
        <w:t>它不是“compiler 先出一个分数，再把分数细化”，而是</w:t>
      </w:r>
      <w:r>
        <w:rPr>
          <w:rFonts w:ascii="Calibri" w:hAnsi="Calibri" w:eastAsia="PingFang SC"/>
          <w:b/>
        </w:rPr>
        <w:t>运行 agent 之前</w:t>
      </w:r>
      <w:r>
        <w:rPr>
          <w:rFonts w:ascii="Calibri" w:hAnsi="Calibri" w:eastAsia="PingFang SC"/>
        </w:rPr>
        <w:t>把一个大要求拆成多个能独立打分的小要求。</w:t>
      </w:r>
    </w:p>
    <w:p>
      <w:r>
        <w:rPr>
          <w:rFonts w:ascii="Calibri" w:hAnsi="Calibri" w:eastAsia="PingFang SC"/>
        </w:rPr>
        <w:t>例如大要求是：</w:t>
      </w:r>
    </w:p>
    <w:p>
      <w:pPr>
        <w:spacing w:before="80" w:after="160" w:line="240" w:lineRule="auto"/>
        <w:ind w:left="360" w:right="216"/>
        <w:jc w:val="left"/>
        <w:shd w:fill="EEF2F5"/>
      </w:pPr>
      <w:r>
        <w:rPr>
          <w:rFonts w:ascii="Courier New" w:hAnsi="Courier New" w:eastAsia="PingFang SC"/>
          <w:color w:val="163A63"/>
          <w:sz w:val="18"/>
        </w:rPr>
        <w:t>建议要符合 Ua 的预算和风险偏好。</w:t>
      </w:r>
    </w:p>
    <w:p>
      <w:r>
        <w:rPr>
          <w:rFonts w:ascii="Calibri" w:hAnsi="Calibri" w:eastAsia="PingFang SC"/>
        </w:rPr>
        <w:t>它至少拆成：</w:t>
      </w:r>
    </w:p>
    <w:p>
      <w:pPr>
        <w:numPr>
          <w:ilvl w:val="0"/>
          <w:numId w:val="17"/>
        </w:numPr>
        <w:spacing w:after="80" w:line="290" w:lineRule="auto"/>
        <w:ind w:left="540" w:hanging="279"/>
      </w:pPr>
      <w:r>
        <w:rPr>
          <w:rFonts w:ascii="Courier New" w:hAnsi="Courier New" w:eastAsia="PingFang SC"/>
          <w:color w:val="6A3E00"/>
          <w:sz w:val="20"/>
        </w:rPr>
        <w:t>U-A-BUDGET-01</w:t>
      </w:r>
      <w:r>
        <w:rPr>
          <w:rFonts w:ascii="Calibri" w:hAnsi="Calibri" w:eastAsia="PingFang SC"/>
        </w:rPr>
        <w:t>：第一阶段支出不超过 50 万；</w:t>
      </w:r>
    </w:p>
    <w:p>
      <w:pPr>
        <w:numPr>
          <w:ilvl w:val="0"/>
          <w:numId w:val="17"/>
        </w:numPr>
        <w:spacing w:after="80" w:line="290" w:lineRule="auto"/>
        <w:ind w:left="540" w:hanging="279"/>
      </w:pPr>
      <w:r>
        <w:rPr>
          <w:rFonts w:ascii="Courier New" w:hAnsi="Courier New" w:eastAsia="PingFang SC"/>
          <w:color w:val="6A3E00"/>
          <w:sz w:val="20"/>
        </w:rPr>
        <w:t>U-A-PILOT-02</w:t>
      </w:r>
      <w:r>
        <w:rPr>
          <w:rFonts w:ascii="Calibri" w:hAnsi="Calibri" w:eastAsia="PingFang SC"/>
        </w:rPr>
        <w:t>：给出三个月可逆试点；</w:t>
      </w:r>
    </w:p>
    <w:p>
      <w:pPr>
        <w:numPr>
          <w:ilvl w:val="0"/>
          <w:numId w:val="17"/>
        </w:numPr>
        <w:spacing w:after="80" w:line="290" w:lineRule="auto"/>
        <w:ind w:left="540" w:hanging="279"/>
      </w:pPr>
      <w:r>
        <w:rPr>
          <w:rFonts w:ascii="Courier New" w:hAnsi="Courier New" w:eastAsia="PingFang SC"/>
          <w:color w:val="6A3E00"/>
          <w:sz w:val="20"/>
        </w:rPr>
        <w:t>U-A-EXIT-03</w:t>
      </w:r>
      <w:r>
        <w:rPr>
          <w:rFonts w:ascii="Calibri" w:hAnsi="Calibri" w:eastAsia="PingFang SC"/>
        </w:rPr>
        <w:t>：给出可操作的继续与退出阈值。</w:t>
      </w:r>
    </w:p>
    <w:p>
      <w:r>
        <w:rPr>
          <w:rFonts w:ascii="Calibri" w:hAnsi="Calibri" w:eastAsia="PingFang SC"/>
        </w:rPr>
        <w:t>每条 leaf 都要写清楚：属于哪个模板和 contract、适用于哪个用户、看交付物的什么证据、0/1/2 分分别是什么意思、权重、是否 hard gate、交给 verifier / judge / 用户 / 专家中的谁，以及直接进入哪个 metric。比如第 1 条可用数字 verifier + judge；0 分是超预算，1 分是提到预算但没有落实到方案，2 分是方案和阶段成本都满足。冻结后，任何 agent 都用同一标准。</w:t>
      </w:r>
    </w:p>
    <w:p>
      <w:pPr>
        <w:pStyle w:val="Heading2"/>
      </w:pPr>
      <w:r>
        <w:t>7.3 四类评价契约</w:t>
      </w:r>
    </w:p>
    <w:p>
      <w:pPr>
        <w:pStyle w:val="ListBullet"/>
      </w:pPr>
      <w:r>
        <w:rPr>
          <w:rFonts w:ascii="Courier New" w:hAnsi="Courier New" w:eastAsia="PingFang SC"/>
          <w:color w:val="6A3E00"/>
          <w:sz w:val="20"/>
        </w:rPr>
        <w:t>must-change</w:t>
      </w:r>
      <w:r>
        <w:rPr>
          <w:rFonts w:ascii="Calibri" w:hAnsi="Calibri" w:eastAsia="PingFang SC"/>
        </w:rPr>
        <w:t>：不同用户必须改变的内容；</w:t>
      </w:r>
    </w:p>
    <w:p>
      <w:pPr>
        <w:pStyle w:val="ListBullet"/>
      </w:pPr>
      <w:r>
        <w:rPr>
          <w:rFonts w:ascii="Courier New" w:hAnsi="Courier New" w:eastAsia="PingFang SC"/>
          <w:color w:val="6A3E00"/>
          <w:sz w:val="20"/>
        </w:rPr>
        <w:t>must-hold</w:t>
      </w:r>
      <w:r>
        <w:rPr>
          <w:rFonts w:ascii="Calibri" w:hAnsi="Calibri" w:eastAsia="PingFang SC"/>
        </w:rPr>
        <w:t>：所有用户都必须保持的事实和质量；</w:t>
      </w:r>
    </w:p>
    <w:p>
      <w:pPr>
        <w:pStyle w:val="ListBullet"/>
      </w:pPr>
      <w:r>
        <w:rPr>
          <w:rFonts w:ascii="Courier New" w:hAnsi="Courier New" w:eastAsia="PingFang SC"/>
          <w:color w:val="6A3E00"/>
          <w:sz w:val="20"/>
        </w:rPr>
        <w:t>must-not</w:t>
      </w:r>
      <w:r>
        <w:rPr>
          <w:rFonts w:ascii="Calibri" w:hAnsi="Calibri" w:eastAsia="PingFang SC"/>
        </w:rPr>
        <w:t>：不得假设、泄露、越权或迎合的内容；</w:t>
      </w:r>
    </w:p>
    <w:p>
      <w:pPr>
        <w:pStyle w:val="ListBullet"/>
      </w:pPr>
      <w:r>
        <w:rPr>
          <w:rFonts w:ascii="Courier New" w:hAnsi="Courier New" w:eastAsia="PingFang SC"/>
          <w:color w:val="6A3E00"/>
          <w:sz w:val="20"/>
        </w:rPr>
        <w:t>clarify-if-unknown</w:t>
      </w:r>
      <w:r>
        <w:rPr>
          <w:rFonts w:ascii="Calibri" w:hAnsi="Calibri" w:eastAsia="PingFang SC"/>
        </w:rPr>
        <w:t>：缺少关键信息时应该提问或给条件分支。</w:t>
      </w:r>
    </w:p>
    <w:p>
      <w:pPr>
        <w:pStyle w:val="Heading2"/>
      </w:pPr>
      <w:r>
        <w:t>7.4 三棵 rubric tree</w:t>
      </w:r>
    </w:p>
    <w:p>
      <w:pPr>
        <w:numPr>
          <w:ilvl w:val="0"/>
          <w:numId w:val="18"/>
        </w:numPr>
        <w:spacing w:after="80" w:line="290" w:lineRule="auto"/>
        <w:ind w:left="540" w:hanging="279"/>
      </w:pPr>
      <w:r>
        <w:rPr>
          <w:rFonts w:ascii="Calibri" w:hAnsi="Calibri" w:eastAsia="PingFang SC"/>
          <w:b/>
        </w:rPr>
        <w:t>Common Task Quality</w:t>
      </w:r>
      <w:r>
        <w:rPr>
          <w:rFonts w:ascii="Calibri" w:hAnsi="Calibri" w:eastAsia="PingFang SC"/>
        </w:rPr>
        <w:t>：任务完成、事实、证据、推理、行动性、文件完整性；</w:t>
      </w:r>
    </w:p>
    <w:p>
      <w:pPr>
        <w:numPr>
          <w:ilvl w:val="0"/>
          <w:numId w:val="18"/>
        </w:numPr>
        <w:spacing w:after="80" w:line="290" w:lineRule="auto"/>
        <w:ind w:left="540" w:hanging="279"/>
      </w:pPr>
      <w:r>
        <w:rPr>
          <w:rFonts w:ascii="Calibri" w:hAnsi="Calibri" w:eastAsia="PingFang SC"/>
          <w:b/>
        </w:rPr>
        <w:t>User-Conditional Fit</w:t>
      </w:r>
      <w:r>
        <w:rPr>
          <w:rFonts w:ascii="Calibri" w:hAnsi="Calibri" w:eastAsia="PingFang SC"/>
        </w:rPr>
        <w:t>：目标、内容、深度、约束、工作流、受众、动态状态；</w:t>
      </w:r>
    </w:p>
    <w:p>
      <w:pPr>
        <w:numPr>
          <w:ilvl w:val="0"/>
          <w:numId w:val="18"/>
        </w:numPr>
        <w:spacing w:after="80" w:line="290" w:lineRule="auto"/>
        <w:ind w:left="540" w:hanging="279"/>
      </w:pPr>
      <w:r>
        <w:rPr>
          <w:rFonts w:ascii="Calibri" w:hAnsi="Calibri" w:eastAsia="PingFang SC"/>
          <w:b/>
        </w:rPr>
        <w:t>Misuse &amp; Boundary</w:t>
      </w:r>
      <w:r>
        <w:rPr>
          <w:rFonts w:ascii="Calibri" w:hAnsi="Calibri" w:eastAsia="PingFang SC"/>
        </w:rPr>
        <w:t>：刻板化、无关个性化、过期信息、隐私、越权和过度迎合。</w:t>
      </w:r>
    </w:p>
    <w:p>
      <w:pPr>
        <w:pStyle w:val="Heading2"/>
      </w:pPr>
      <w:r>
        <w:t>7.5 Leaf 到分数怎么绑定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000"/>
        <w:gridCol w:w="4660"/>
      </w:tblGrid>
      <w:tr>
        <w:trPr>
          <w:tblHeader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40" w:line="259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PingFang SC"/>
                <w:b/>
                <w:color w:val="163A63"/>
                <w:sz w:val="18"/>
              </w:rPr>
              <w:t>Leaf 类型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40" w:line="259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PingFang SC"/>
                <w:b/>
                <w:color w:val="163A63"/>
                <w:sz w:val="18"/>
              </w:rPr>
              <w:t>直接进入什么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40" w:line="259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PingFang SC"/>
                <w:b/>
                <w:color w:val="163A63"/>
                <w:sz w:val="18"/>
              </w:rPr>
              <w:t>说明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 w:eastAsia="PingFang SC"/>
                <w:sz w:val="18"/>
              </w:rPr>
              <w:t>共同任务、intent、deliverable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/>
            <w:r>
              <w:rPr>
                <w:rFonts w:ascii="Calibri" w:hAnsi="Calibri" w:eastAsia="PingFang SC"/>
                <w:sz w:val="18"/>
              </w:rPr>
              <w:t>TQ；事实项还进 FR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/>
            <w:r>
              <w:rPr>
                <w:rFonts w:ascii="Calibri" w:hAnsi="Calibri" w:eastAsia="PingFang SC"/>
                <w:sz w:val="18"/>
              </w:rPr>
              <w:t>所有用户都要做好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 w:eastAsia="PingFang SC"/>
                <w:sz w:val="18"/>
              </w:rPr>
              <w:t>must-change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/>
            <w:r>
              <w:rPr>
                <w:rFonts w:ascii="Calibri" w:hAnsi="Calibri" w:eastAsia="PingFang SC"/>
                <w:sz w:val="18"/>
              </w:rPr>
              <w:t>该用户的 PF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/>
            <w:r>
              <w:rPr>
                <w:rFonts w:ascii="Calibri" w:hAnsi="Calibri" w:eastAsia="PingFang SC"/>
                <w:sz w:val="18"/>
              </w:rPr>
              <w:t>同一组 leaves 同时评 matched 和 swapped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 w:eastAsia="PingFang SC"/>
                <w:sz w:val="18"/>
              </w:rPr>
              <w:t>must-hold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/>
            <w:r>
              <w:rPr>
                <w:rFonts w:ascii="Calibri" w:hAnsi="Calibri" w:eastAsia="PingFang SC"/>
                <w:sz w:val="18"/>
              </w:rPr>
              <w:t>TQ + Neutral Invariance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/>
            <w:r>
              <w:rPr>
                <w:rFonts w:ascii="Calibri" w:hAnsi="Calibri" w:eastAsia="PingFang SC"/>
                <w:sz w:val="18"/>
              </w:rPr>
              <w:t>单份看质量，跨两份看是否稳定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 w:eastAsia="PingFang SC"/>
                <w:sz w:val="18"/>
              </w:rPr>
              <w:t>must-not violation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/>
            <w:r>
              <w:rPr>
                <w:rFonts w:ascii="Calibri" w:hAnsi="Calibri" w:eastAsia="PingFang SC"/>
                <w:sz w:val="18"/>
              </w:rPr>
              <w:t>MP / hard gate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/>
            <w:r>
              <w:rPr>
                <w:rFonts w:ascii="Calibri" w:hAnsi="Calibri" w:eastAsia="PingFang SC"/>
                <w:sz w:val="18"/>
              </w:rPr>
              <w:t>隐私或安全 critical 失败不能补偿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 w:eastAsia="PingFang SC"/>
                <w:sz w:val="18"/>
              </w:rPr>
              <w:t>clarify-if-unknown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/>
            <w:r>
              <w:rPr>
                <w:rFonts w:ascii="Calibri" w:hAnsi="Calibri" w:eastAsia="PingFang SC"/>
                <w:sz w:val="18"/>
              </w:rPr>
              <w:t>Clarification Correctness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/>
            <w:r>
              <w:rPr>
                <w:rFonts w:ascii="Calibri" w:hAnsi="Calibri" w:eastAsia="PingFang SC"/>
                <w:sz w:val="18"/>
              </w:rPr>
              <w:t>擅自假设时另计 MP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 w:eastAsia="PingFang SC"/>
                <w:sz w:val="18"/>
              </w:rPr>
              <w:t>operator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/>
            <w:r>
              <w:rPr>
                <w:rFonts w:ascii="Calibri" w:hAnsi="Calibri" w:eastAsia="PingFang SC"/>
                <w:sz w:val="18"/>
              </w:rPr>
              <w:t>diagnostic delta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/>
            <w:r>
              <w:rPr>
                <w:rFonts w:ascii="Calibri" w:hAnsi="Calibri" w:eastAsia="PingFang SC"/>
                <w:sz w:val="18"/>
              </w:rPr>
              <w:t>与同前缀 clean control 比，不混入基础总分</w:t>
            </w:r>
          </w:p>
        </w:tc>
      </w:tr>
    </w:tbl>
    <w:p>
      <w:pPr>
        <w:spacing w:after="40"/>
      </w:pPr>
    </w:p>
    <w:p>
      <w:r>
        <w:rPr>
          <w:rFonts w:ascii="Calibri" w:hAnsi="Calibri" w:eastAsia="PingFang SC"/>
        </w:rPr>
        <w:t>所以，</w:t>
      </w:r>
      <w:r>
        <w:rPr>
          <w:rFonts w:ascii="Calibri" w:hAnsi="Calibri" w:eastAsia="PingFang SC"/>
          <w:b/>
        </w:rPr>
        <w:t>TQ、FR、PF、MP 直接由 leaves 聚合；CFA 不直接绑定 leaf。</w:t>
      </w:r>
      <w:r>
        <w:rPr>
          <w:rFonts w:ascii="Calibri" w:hAnsi="Calibri" w:eastAsia="PingFang SC"/>
        </w:rPr>
        <w:t xml:space="preserve"> Ua 的冻结 PF leaves 同时给 </w:t>
      </w:r>
      <w:r>
        <w:rPr>
          <w:rFonts w:ascii="Courier New" w:hAnsi="Courier New" w:eastAsia="PingFang SC"/>
          <w:color w:val="6A3E00"/>
          <w:sz w:val="20"/>
        </w:rPr>
        <w:t>Y_a</w:t>
      </w:r>
      <w:r>
        <w:rPr>
          <w:rFonts w:ascii="Calibri" w:hAnsi="Calibri" w:eastAsia="PingFang SC"/>
        </w:rPr>
        <w:t xml:space="preserve"> 和 </w:t>
      </w:r>
      <w:r>
        <w:rPr>
          <w:rFonts w:ascii="Courier New" w:hAnsi="Courier New" w:eastAsia="PingFang SC"/>
          <w:color w:val="6A3E00"/>
          <w:sz w:val="20"/>
        </w:rPr>
        <w:t>Y_b</w:t>
      </w:r>
      <w:r>
        <w:rPr>
          <w:rFonts w:ascii="Calibri" w:hAnsi="Calibri" w:eastAsia="PingFang SC"/>
        </w:rPr>
        <w:t xml:space="preserve"> 打分，得到 </w:t>
      </w:r>
      <w:r>
        <w:rPr>
          <w:rFonts w:ascii="Courier New" w:hAnsi="Courier New" w:eastAsia="PingFang SC"/>
          <w:color w:val="6A3E00"/>
          <w:sz w:val="20"/>
        </w:rPr>
        <w:t>PF_a(Y_a)</w:t>
      </w:r>
      <w:r>
        <w:rPr>
          <w:rFonts w:ascii="Calibri" w:hAnsi="Calibri" w:eastAsia="PingFang SC"/>
        </w:rPr>
        <w:t>、</w:t>
      </w:r>
      <w:r>
        <w:rPr>
          <w:rFonts w:ascii="Courier New" w:hAnsi="Courier New" w:eastAsia="PingFang SC"/>
          <w:color w:val="6A3E00"/>
          <w:sz w:val="20"/>
        </w:rPr>
        <w:t>PF_a(Y_b)</w:t>
      </w:r>
      <w:r>
        <w:rPr>
          <w:rFonts w:ascii="Calibri" w:hAnsi="Calibri" w:eastAsia="PingFang SC"/>
        </w:rPr>
        <w:t xml:space="preserve">；Ub 的 leaves 再得到另外两个值。CFA 是这四个 PF 的对角优势。要查某个分数来自哪里，只需沿 </w:t>
      </w:r>
      <w:r>
        <w:rPr>
          <w:rFonts w:ascii="Courier New" w:hAnsi="Courier New" w:eastAsia="PingFang SC"/>
          <w:color w:val="6A3E00"/>
          <w:sz w:val="20"/>
        </w:rPr>
        <w:t>criterion_id → direct_metric_bindings → aggregate → derived metric</w:t>
      </w:r>
      <w:r>
        <w:rPr>
          <w:rFonts w:ascii="Calibri" w:hAnsi="Calibri" w:eastAsia="PingFang SC"/>
        </w:rPr>
        <w:t xml:space="preserve"> 追踪。</w:t>
      </w:r>
    </w:p>
    <w:p>
      <w:pPr>
        <w:pStyle w:val="Heading2"/>
      </w:pPr>
      <w:r>
        <w:t>7.6 Rubric 进入主实验前必须过七关</w:t>
      </w:r>
    </w:p>
    <w:p>
      <w:pPr>
        <w:numPr>
          <w:ilvl w:val="0"/>
          <w:numId w:val="19"/>
        </w:numPr>
        <w:spacing w:after="80" w:line="290" w:lineRule="auto"/>
        <w:ind w:left="540" w:hanging="279"/>
      </w:pPr>
      <w:r>
        <w:rPr>
          <w:rFonts w:ascii="Calibri" w:hAnsi="Calibri" w:eastAsia="PingFang SC"/>
        </w:rPr>
        <w:t>每个关键元数据要么对应可判断的 rubric，要么明确只用于切片报告；</w:t>
      </w:r>
    </w:p>
    <w:p>
      <w:pPr>
        <w:numPr>
          <w:ilvl w:val="0"/>
          <w:numId w:val="19"/>
        </w:numPr>
        <w:spacing w:after="80" w:line="290" w:lineRule="auto"/>
        <w:ind w:left="540" w:hanging="279"/>
      </w:pPr>
      <w:r>
        <w:rPr>
          <w:rFonts w:ascii="Calibri" w:hAnsi="Calibri" w:eastAsia="PingFang SC"/>
        </w:rPr>
        <w:t>人写的 matched 参考结果应明显优于 swapped 或错误版本；</w:t>
      </w:r>
    </w:p>
    <w:p>
      <w:pPr>
        <w:numPr>
          <w:ilvl w:val="0"/>
          <w:numId w:val="19"/>
        </w:numPr>
        <w:spacing w:after="80" w:line="290" w:lineRule="auto"/>
        <w:ind w:left="540" w:hanging="279"/>
      </w:pPr>
      <w:r>
        <w:rPr>
          <w:rFonts w:ascii="Calibri" w:hAnsi="Calibri" w:eastAsia="PingFang SC"/>
        </w:rPr>
        <w:t>同一 user-state 换成语义等价 signal view 后，must-change / must-hold 判断应稳定；</w:t>
      </w:r>
    </w:p>
    <w:p>
      <w:pPr>
        <w:numPr>
          <w:ilvl w:val="0"/>
          <w:numId w:val="19"/>
        </w:numPr>
        <w:spacing w:after="80" w:line="290" w:lineRule="auto"/>
        <w:ind w:left="540" w:hanging="279"/>
      </w:pPr>
      <w:r>
        <w:rPr>
          <w:rFonts w:ascii="Calibri" w:hAnsi="Calibri" w:eastAsia="PingFang SC"/>
        </w:rPr>
        <w:t>加入无关 persona、改变篇幅或文风不能提高不相关分数；</w:t>
      </w:r>
    </w:p>
    <w:p>
      <w:pPr>
        <w:numPr>
          <w:ilvl w:val="0"/>
          <w:numId w:val="19"/>
        </w:numPr>
        <w:spacing w:after="80" w:line="290" w:lineRule="auto"/>
        <w:ind w:left="540" w:hanging="279"/>
      </w:pPr>
      <w:r>
        <w:rPr>
          <w:rFonts w:ascii="Calibri" w:hAnsi="Calibri" w:eastAsia="PingFang SC"/>
        </w:rPr>
        <w:t>judge 在不同任务、交付物、用户信息渠道和风险等级上都要单独校准。</w:t>
      </w:r>
    </w:p>
    <w:p>
      <w:pPr>
        <w:numPr>
          <w:ilvl w:val="0"/>
          <w:numId w:val="19"/>
        </w:numPr>
        <w:spacing w:after="80" w:line="290" w:lineRule="auto"/>
        <w:ind w:left="540" w:hanging="279"/>
      </w:pPr>
      <w:r>
        <w:rPr>
          <w:rFonts w:ascii="Calibri" w:hAnsi="Calibri" w:eastAsia="PingFang SC"/>
        </w:rPr>
        <w:t>检查不同 module 的语义重叠、leaf 数和权重敏感性，避免重复计分和量尺漂移；</w:t>
      </w:r>
    </w:p>
    <w:p>
      <w:pPr>
        <w:numPr>
          <w:ilvl w:val="0"/>
          <w:numId w:val="19"/>
        </w:numPr>
        <w:spacing w:after="80" w:line="290" w:lineRule="auto"/>
        <w:ind w:left="540" w:hanging="279"/>
      </w:pPr>
      <w:r>
        <w:rPr>
          <w:rFonts w:ascii="Calibri" w:hAnsi="Calibri" w:eastAsia="PingFang SC"/>
        </w:rPr>
        <w:t>对 pilot 中现有 module 捕捉不到的错误做 open coding；只有同一残余 construct 在至少两个不同 family 重复出现，才新增 module。</w:t>
      </w:r>
    </w:p>
    <w:p>
      <w:r>
        <w:rPr>
          <w:rFonts w:ascii="Calibri" w:hAnsi="Calibri" w:eastAsia="PingFang SC"/>
        </w:rPr>
        <w:t>无法稳定判断、不能区分 matched/swapped 的 rubric 必须删除或降级，不能靠调权重保留。</w:t>
      </w:r>
    </w:p>
    <w:p>
      <w:pPr>
        <w:pStyle w:val="Heading1"/>
      </w:pPr>
      <w:r>
        <w:t>8. Metrics 怎么读</w:t>
      </w:r>
    </w:p>
    <w:p>
      <w:pPr>
        <w:pStyle w:val="Heading2"/>
      </w:pPr>
      <w:r>
        <w:t>8.1 共同质量与事实性</w:t>
      </w:r>
    </w:p>
    <w:p>
      <w:pPr>
        <w:pStyle w:val="ListBullet"/>
      </w:pPr>
      <w:r>
        <w:rPr>
          <w:rFonts w:ascii="Calibri" w:hAnsi="Calibri" w:eastAsia="PingFang SC"/>
          <w:b/>
        </w:rPr>
        <w:t>TQ</w:t>
      </w:r>
      <w:r>
        <w:rPr>
          <w:rFonts w:ascii="Calibri" w:hAnsi="Calibri" w:eastAsia="PingFang SC"/>
        </w:rPr>
        <w:t>：任务完成和基本可用性；</w:t>
      </w:r>
    </w:p>
    <w:p>
      <w:pPr>
        <w:pStyle w:val="ListBullet"/>
      </w:pPr>
      <w:r>
        <w:rPr>
          <w:rFonts w:ascii="Calibri" w:hAnsi="Calibri" w:eastAsia="PingFang SC"/>
          <w:b/>
        </w:rPr>
        <w:t>FR</w:t>
      </w:r>
      <w:r>
        <w:rPr>
          <w:rFonts w:ascii="Calibri" w:hAnsi="Calibri" w:eastAsia="PingFang SC"/>
        </w:rPr>
        <w:t>：事实、证据、引用支持和来源质量。</w:t>
      </w:r>
    </w:p>
    <w:p>
      <w:r>
        <w:rPr>
          <w:rFonts w:ascii="Calibri" w:hAnsi="Calibri" w:eastAsia="PingFang SC"/>
        </w:rPr>
        <w:t>如果共同质量或事实性不过门槛，不能靠个性化分补回来。</w:t>
      </w:r>
    </w:p>
    <w:p>
      <w:pPr>
        <w:pStyle w:val="Heading2"/>
      </w:pPr>
      <w:r>
        <w:t>8.2 个性化表现</w:t>
      </w:r>
    </w:p>
    <w:p>
      <w:pPr>
        <w:pStyle w:val="ListBullet"/>
      </w:pPr>
      <w:r>
        <w:rPr>
          <w:rFonts w:ascii="Calibri" w:hAnsi="Calibri" w:eastAsia="PingFang SC"/>
          <w:b/>
        </w:rPr>
        <w:t>PF</w:t>
      </w:r>
      <w:r>
        <w:rPr>
          <w:rFonts w:ascii="Calibri" w:hAnsi="Calibri" w:eastAsia="PingFang SC"/>
        </w:rPr>
        <w:t>：用户特异要求完成了多少；</w:t>
      </w:r>
    </w:p>
    <w:p>
      <w:pPr>
        <w:pStyle w:val="ListBullet"/>
      </w:pPr>
      <w:r>
        <w:rPr>
          <w:rFonts w:ascii="Calibri" w:hAnsi="Calibri" w:eastAsia="PingFang SC"/>
          <w:b/>
        </w:rPr>
        <w:t>MP</w:t>
      </w:r>
      <w:r>
        <w:rPr>
          <w:rFonts w:ascii="Calibri" w:hAnsi="Calibri" w:eastAsia="PingFang SC"/>
        </w:rPr>
        <w:t>：误用、泄露、刻板化和过度迎合造成的惩罚；</w:t>
      </w:r>
    </w:p>
    <w:p>
      <w:pPr>
        <w:pStyle w:val="ListBullet"/>
      </w:pPr>
      <w:r>
        <w:rPr>
          <w:rFonts w:ascii="Calibri" w:hAnsi="Calibri" w:eastAsia="PingFang SC"/>
          <w:b/>
        </w:rPr>
        <w:t>PF − MP</w:t>
      </w:r>
      <w:r>
        <w:rPr>
          <w:rFonts w:ascii="Calibri" w:hAnsi="Calibri" w:eastAsia="PingFang SC"/>
        </w:rPr>
        <w:t>：净个性化适配；</w:t>
      </w:r>
    </w:p>
    <w:p>
      <w:pPr>
        <w:pStyle w:val="ListBullet"/>
      </w:pPr>
      <w:r>
        <w:rPr>
          <w:rFonts w:ascii="Calibri" w:hAnsi="Calibri" w:eastAsia="PingFang SC"/>
          <w:b/>
        </w:rPr>
        <w:t>CFA</w:t>
      </w:r>
      <w:r>
        <w:rPr>
          <w:rFonts w:ascii="Calibri" w:hAnsi="Calibri" w:eastAsia="PingFang SC"/>
        </w:rPr>
        <w:t>：匹配用户的报告相对错配报告有多少优势，但要把两位用户的方向分别保留下来。</w:t>
      </w:r>
    </w:p>
    <w:p>
      <w:pPr>
        <w:spacing w:before="80" w:after="160" w:line="240" w:lineRule="auto"/>
        <w:ind w:left="360" w:right="216"/>
        <w:jc w:val="left"/>
        <w:shd w:fill="EEF2F5"/>
      </w:pPr>
      <w:r>
        <w:rPr>
          <w:rFonts w:ascii="Courier New" w:hAnsi="Courier New" w:eastAsia="PingFang SC"/>
          <w:color w:val="163A63"/>
          <w:sz w:val="18"/>
        </w:rPr>
        <w:t>Δa = Ua 看 Ya 相对 Yb 的优势</w:t>
        <w:br/>
        <w:t>Δb = Ub 看 Yb 相对 Ya 的优势</w:t>
        <w:br/>
        <w:t>CFA_mean = (Δa + Δb) / 2</w:t>
        <w:br/>
        <w:t>CFA_min = min(Δa, Δb)</w:t>
      </w:r>
    </w:p>
    <w:p>
      <w:r>
        <w:rPr>
          <w:rFonts w:ascii="Calibri" w:hAnsi="Calibri" w:eastAsia="PingFang SC"/>
        </w:rPr>
        <w:t xml:space="preserve">CFA 的平均值大于 0 仍不够：如果 Ua 明显受益、Ub 反而更适合错误版本，平均后也可能是正数。所以主结果必须同时给出 </w:t>
      </w:r>
      <w:r>
        <w:rPr>
          <w:rFonts w:ascii="Courier New" w:hAnsi="Courier New" w:eastAsia="PingFang SC"/>
          <w:color w:val="6A3E00"/>
          <w:sz w:val="20"/>
        </w:rPr>
        <w:t>Δa</w:t>
      </w:r>
      <w:r>
        <w:rPr>
          <w:rFonts w:ascii="Calibri" w:hAnsi="Calibri" w:eastAsia="PingFang SC"/>
        </w:rPr>
        <w:t>、</w:t>
      </w:r>
      <w:r>
        <w:rPr>
          <w:rFonts w:ascii="Courier New" w:hAnsi="Courier New" w:eastAsia="PingFang SC"/>
          <w:color w:val="6A3E00"/>
          <w:sz w:val="20"/>
        </w:rPr>
        <w:t>Δb</w:t>
      </w:r>
      <w:r>
        <w:rPr>
          <w:rFonts w:ascii="Calibri" w:hAnsi="Calibri" w:eastAsia="PingFang SC"/>
        </w:rPr>
        <w:t xml:space="preserve"> 和 </w:t>
      </w:r>
      <w:r>
        <w:rPr>
          <w:rFonts w:ascii="Courier New" w:hAnsi="Courier New" w:eastAsia="PingFang SC"/>
          <w:color w:val="6A3E00"/>
          <w:sz w:val="20"/>
        </w:rPr>
        <w:t>CFA_min</w:t>
      </w:r>
      <w:r>
        <w:rPr>
          <w:rFonts w:ascii="Calibri" w:hAnsi="Calibri" w:eastAsia="PingFang SC"/>
        </w:rPr>
        <w:t>，只有两边都大于 0 才算“双向成立”。</w:t>
      </w:r>
    </w:p>
    <w:p>
      <w:r>
        <w:rPr>
          <w:rFonts w:ascii="Calibri" w:hAnsi="Calibri" w:eastAsia="PingFang SC"/>
        </w:rPr>
        <w:t>还要补一个很直观的绝对基准：</w:t>
      </w:r>
      <w:r>
        <w:rPr>
          <w:rFonts w:ascii="Courier New" w:hAnsi="Courier New" w:eastAsia="PingFang SC"/>
          <w:color w:val="6A3E00"/>
          <w:sz w:val="20"/>
        </w:rPr>
        <w:t>A_min=min(Ua看Ya的适配分, Ub看Yb的适配分)</w:t>
      </w:r>
      <w:r>
        <w:rPr>
          <w:rFonts w:ascii="Calibri" w:hAnsi="Calibri" w:eastAsia="PingFang SC"/>
        </w:rPr>
        <w:t>。假如 matched 只有0.40、swapped是0.00，差值看上去很大，但0.40本身仍不合格；</w:t>
      </w:r>
      <w:r>
        <w:rPr>
          <w:rFonts w:ascii="Courier New" w:hAnsi="Courier New" w:eastAsia="PingFang SC"/>
          <w:color w:val="6A3E00"/>
          <w:sz w:val="20"/>
        </w:rPr>
        <w:t>A_min</w:t>
      </w:r>
      <w:r>
        <w:rPr>
          <w:rFonts w:ascii="Calibri" w:hAnsi="Calibri" w:eastAsia="PingFang SC"/>
        </w:rPr>
        <w:t xml:space="preserve"> 就是专门拦这种情况。每条 leaf 已经先归一到0–1，因此差值可以直接解释成量尺百分点；再除以两份分数之和，反而会在两份都很差时把差异夸大。</w:t>
      </w:r>
    </w:p>
    <w:p>
      <w:r>
        <w:rPr>
          <w:rFonts w:ascii="Calibri" w:hAnsi="Calibri" w:eastAsia="PingFang SC"/>
        </w:rPr>
        <w:t xml:space="preserve">“向量夹角”可以保留，但只做诊断。把 </w:t>
      </w:r>
      <w:r>
        <w:rPr>
          <w:rFonts w:ascii="Courier New" w:hAnsi="Courier New" w:eastAsia="PingFang SC"/>
          <w:color w:val="6A3E00"/>
          <w:sz w:val="20"/>
        </w:rPr>
        <w:t>[Δa,Δb]</w:t>
      </w:r>
      <w:r>
        <w:rPr>
          <w:rFonts w:ascii="Calibri" w:hAnsi="Calibri" w:eastAsia="PingFang SC"/>
        </w:rPr>
        <w:t xml:space="preserve"> 和理想方向 </w:t>
      </w:r>
      <w:r>
        <w:rPr>
          <w:rFonts w:ascii="Courier New" w:hAnsi="Courier New" w:eastAsia="PingFang SC"/>
          <w:color w:val="6A3E00"/>
          <w:sz w:val="20"/>
        </w:rPr>
        <w:t>[1,1]</w:t>
      </w:r>
      <w:r>
        <w:rPr>
          <w:rFonts w:ascii="Calibri" w:hAnsi="Calibri" w:eastAsia="PingFang SC"/>
        </w:rPr>
        <w:t xml:space="preserve"> 比夹角，能看两位用户是不是都朝正确方向；可是 </w:t>
      </w:r>
      <w:r>
        <w:rPr>
          <w:rFonts w:ascii="Courier New" w:hAnsi="Courier New" w:eastAsia="PingFang SC"/>
          <w:color w:val="6A3E00"/>
          <w:sz w:val="20"/>
        </w:rPr>
        <w:t>[0.01,0.01]</w:t>
      </w:r>
      <w:r>
        <w:rPr>
          <w:rFonts w:ascii="Calibri" w:hAnsi="Calibri" w:eastAsia="PingFang SC"/>
        </w:rPr>
        <w:t xml:space="preserve"> 的夹角也完美，所以还必须同时看向量长度、</w:t>
      </w:r>
      <w:r>
        <w:rPr>
          <w:rFonts w:ascii="Courier New" w:hAnsi="Courier New" w:eastAsia="PingFang SC"/>
          <w:color w:val="6A3E00"/>
          <w:sz w:val="20"/>
        </w:rPr>
        <w:t>CFA_min</w:t>
      </w:r>
      <w:r>
        <w:rPr>
          <w:rFonts w:ascii="Calibri" w:hAnsi="Calibri" w:eastAsia="PingFang SC"/>
        </w:rPr>
        <w:t xml:space="preserve"> 和 </w:t>
      </w:r>
      <w:r>
        <w:rPr>
          <w:rFonts w:ascii="Courier New" w:hAnsi="Courier New" w:eastAsia="PingFang SC"/>
          <w:color w:val="6A3E00"/>
          <w:sz w:val="20"/>
        </w:rPr>
        <w:t>A_min</w:t>
      </w:r>
      <w:r>
        <w:rPr>
          <w:rFonts w:ascii="Calibri" w:hAnsi="Calibri" w:eastAsia="PingFang SC"/>
        </w:rPr>
        <w:t>。不把它们乘成一个总分，是因为乘积又会让一种失败补偿另一种失败。</w:t>
      </w:r>
    </w:p>
    <w:p>
      <w:r>
        <w:rPr>
          <w:rFonts w:ascii="Calibri" w:hAnsi="Calibri" w:eastAsia="PingFang SC"/>
        </w:rPr>
        <w:t>还要回答另一件过去容易混掉的事：</w:t>
      </w:r>
      <w:r>
        <w:rPr>
          <w:rFonts w:ascii="Calibri" w:hAnsi="Calibri" w:eastAsia="PingFang SC"/>
          <w:b/>
        </w:rPr>
        <w:t>可区分不等于有帮助。</w:t>
      </w:r>
      <w:r>
        <w:rPr>
          <w:rFonts w:ascii="Calibri" w:hAnsi="Calibri" w:eastAsia="PingFang SC"/>
        </w:rPr>
        <w:t xml:space="preserve"> 主矩阵本来就有 task-only 报告 </w:t>
      </w:r>
      <w:r>
        <w:rPr>
          <w:rFonts w:ascii="Courier New" w:hAnsi="Courier New" w:eastAsia="PingFang SC"/>
          <w:color w:val="6A3E00"/>
          <w:sz w:val="20"/>
        </w:rPr>
        <w:t>Y0</w:t>
      </w:r>
      <w:r>
        <w:rPr>
          <w:rFonts w:ascii="Calibri" w:hAnsi="Calibri" w:eastAsia="PingFang SC"/>
        </w:rPr>
        <w:t xml:space="preserve">，因此再计算 </w:t>
      </w:r>
      <w:r>
        <w:rPr>
          <w:rFonts w:ascii="Courier New" w:hAnsi="Courier New" w:eastAsia="PingFang SC"/>
          <w:color w:val="6A3E00"/>
          <w:sz w:val="20"/>
        </w:rPr>
        <w:t>Ga = Ua 看 Ya 相对 Y0 的差</w:t>
      </w:r>
      <w:r>
        <w:rPr>
          <w:rFonts w:ascii="Calibri" w:hAnsi="Calibri" w:eastAsia="PingFang SC"/>
        </w:rPr>
        <w:t>、</w:t>
      </w:r>
      <w:r>
        <w:rPr>
          <w:rFonts w:ascii="Courier New" w:hAnsi="Courier New" w:eastAsia="PingFang SC"/>
          <w:color w:val="6A3E00"/>
          <w:sz w:val="20"/>
        </w:rPr>
        <w:t>Gb = Ub 看 Yb 相对 Y0 的差</w:t>
      </w:r>
      <w:r>
        <w:rPr>
          <w:rFonts w:ascii="Calibri" w:hAnsi="Calibri" w:eastAsia="PingFang SC"/>
        </w:rPr>
        <w:t>。</w:t>
      </w:r>
      <w:r>
        <w:rPr>
          <w:rFonts w:ascii="Courier New" w:hAnsi="Courier New" w:eastAsia="PingFang SC"/>
          <w:color w:val="6A3E00"/>
          <w:sz w:val="20"/>
        </w:rPr>
        <w:t>Ga/Gb</w:t>
      </w:r>
      <w:r>
        <w:rPr>
          <w:rFonts w:ascii="Calibri" w:hAnsi="Calibri" w:eastAsia="PingFang SC"/>
        </w:rPr>
        <w:t xml:space="preserve"> 不低于一个小的 non-inferiority margin 只能说明“没有实质性变差”；只有两边都超过预注册的实际意义阈值，或真人明确更愿意采用 matched，才能叫“真实 added value”。</w:t>
      </w:r>
    </w:p>
    <w:p>
      <w:r>
        <w:rPr>
          <w:rFonts w:ascii="Calibri" w:hAnsi="Calibri" w:eastAsia="PingFang SC"/>
        </w:rPr>
        <w:t xml:space="preserve">最终成功条件不是一个新总分，而是五个门同时通过：两位用户的 matched 都以有实际意义的幅度优于 swapped；两份 matched 的 </w:t>
      </w:r>
      <w:r>
        <w:rPr>
          <w:rFonts w:ascii="Courier New" w:hAnsi="Courier New" w:eastAsia="PingFang SC"/>
          <w:color w:val="6A3E00"/>
          <w:sz w:val="20"/>
        </w:rPr>
        <w:t>A_min</w:t>
      </w:r>
      <w:r>
        <w:rPr>
          <w:rFonts w:ascii="Calibri" w:hAnsi="Calibri" w:eastAsia="PingFang SC"/>
        </w:rPr>
        <w:t xml:space="preserve"> 过绝对适配线；两位用户相对 task-only 都不出现实质损害；TQ/FR 与 must-hold 不下降；owner-aware must-not、隐私和权限不违规。目标用户盲评再用 family 内配对检验确认 match effect，不能把同一个 family 的四格分数当四个独立样本。之后仍要报告语义等价 views 中最差的 CFA、Cue Gap、must-change/must-hold 一致率，以及无关 cue 是否改变结果。</w:t>
      </w:r>
    </w:p>
    <w:p>
      <w:pPr>
        <w:pStyle w:val="Heading2"/>
      </w:pPr>
      <w:r>
        <w:t>8.3 真正的主指标：下游决策效果</w:t>
      </w:r>
    </w:p>
    <w:p>
      <w:r>
        <w:rPr>
          <w:rFonts w:ascii="Calibri" w:hAnsi="Calibri" w:eastAsia="PingFang SC"/>
        </w:rPr>
        <w:t>先为每个用户和任务冻结一个可审计的 utility：硬预算、截止日期、安全/合规等硬约束优先；客观环境结果可由 verifier 检查；用户确认的软偏好只在可接受方案之间排序。任务必须仍需要 agent 查证和综合新证据，不能把答案直接写进 persona。</w:t>
      </w:r>
    </w:p>
    <w:p>
      <w:pPr>
        <w:spacing w:before="80" w:after="160" w:line="240" w:lineRule="auto"/>
        <w:ind w:left="360" w:right="216"/>
        <w:jc w:val="left"/>
        <w:shd w:fill="EEF2F5"/>
      </w:pPr>
      <w:r>
        <w:rPr>
          <w:rFonts w:ascii="Courier New" w:hAnsi="Courier New" w:eastAsia="PingFang SC"/>
          <w:color w:val="163A63"/>
          <w:sz w:val="18"/>
        </w:rPr>
        <w:t>Regret = 最优可接受决定的效用 − 用户实际决定的效用</w:t>
        <w:br/>
        <w:t>DDE = task-only 的 Regret − matched 的 Regret</w:t>
        <w:br/>
        <w:t>WrongUserHarm = swapped 的 Regret − task-only 的 Regret</w:t>
      </w:r>
    </w:p>
    <w:p>
      <w:r>
        <w:rPr>
          <w:rFonts w:ascii="Courier New" w:hAnsi="Courier New" w:eastAsia="PingFang SC"/>
          <w:color w:val="6A3E00"/>
          <w:sz w:val="20"/>
        </w:rPr>
        <w:t>DDE &gt; 0</w:t>
      </w:r>
      <w:r>
        <w:rPr>
          <w:rFonts w:ascii="Calibri" w:hAnsi="Calibri" w:eastAsia="PingFang SC"/>
        </w:rPr>
        <w:t xml:space="preserve"> 才表示个性化报告改善了决定。PF/CFA、TQ/FR 用来确认报告处理成立和解释机制，不与 DDE 平均成总分。如果 CFA 高但 DDE 接近 0，结论应是“报告适配分不是充分的用户效用代理”。</w:t>
      </w:r>
    </w:p>
    <w:p>
      <w:pPr>
        <w:pStyle w:val="Heading2"/>
      </w:pPr>
      <w:r>
        <w:t>8.4 长程与动态状态能力</w:t>
      </w:r>
    </w:p>
    <w:p>
      <w:pPr>
        <w:pStyle w:val="ListBullet"/>
      </w:pPr>
      <w:r>
        <w:rPr>
          <w:rFonts w:ascii="Calibri" w:hAnsi="Calibri" w:eastAsia="PingFang SC"/>
        </w:rPr>
        <w:t>Retention：随着任务变长，用户适配保留了多少；</w:t>
      </w:r>
    </w:p>
    <w:p>
      <w:pPr>
        <w:pStyle w:val="ListBullet"/>
      </w:pPr>
      <w:r>
        <w:rPr>
          <w:rFonts w:ascii="Calibri" w:hAnsi="Calibri" w:eastAsia="PingFang SC"/>
        </w:rPr>
        <w:t>Update correctness：状态变化后是否采用当前真值；</w:t>
      </w:r>
    </w:p>
    <w:p>
      <w:pPr>
        <w:pStyle w:val="ListBullet"/>
      </w:pPr>
      <w:r>
        <w:rPr>
          <w:rFonts w:ascii="Calibri" w:hAnsi="Calibri" w:eastAsia="PingFang SC"/>
        </w:rPr>
        <w:t>Stale-state residue：旧状态仍进入最终交付物的比例；</w:t>
      </w:r>
    </w:p>
    <w:p>
      <w:pPr>
        <w:pStyle w:val="ListBullet"/>
      </w:pPr>
      <w:r>
        <w:rPr>
          <w:rFonts w:ascii="Calibri" w:hAnsi="Calibri" w:eastAsia="PingFang SC"/>
        </w:rPr>
        <w:t>Pressure side effect：压力条件是否损害事实、任务质量或隐私。</w:t>
      </w:r>
    </w:p>
    <w:p>
      <w:pPr>
        <w:pStyle w:val="Heading2"/>
      </w:pPr>
      <w:r>
        <w:t>8.5 榜单不能只给一个总分</w:t>
      </w:r>
    </w:p>
    <w:p>
      <w:r>
        <w:rPr>
          <w:rFonts w:ascii="Calibri" w:hAnsi="Calibri" w:eastAsia="PingFang SC"/>
        </w:rPr>
        <w:t>主榜先检查 TQ、FR 和关键隐私门槛，再以 DDE、WrongUserHarm、硬约束违规和校准为中心；PF/CFA 单列为 artifact qualification。不同 evidence track、工具预算和 agent 类型不混排，长程/权限/证据污染放到次级 stress profile。</w:t>
      </w:r>
    </w:p>
    <w:p>
      <w:pPr>
        <w:pStyle w:val="Heading1"/>
      </w:pPr>
      <w:r>
        <w:t>9. Judge 怎么做</w:t>
      </w:r>
    </w:p>
    <w:p>
      <w:pPr>
        <w:pStyle w:val="Heading2"/>
      </w:pPr>
      <w:r>
        <w:t>9.1 四层评分</w:t>
      </w:r>
    </w:p>
    <w:p>
      <w:pPr>
        <w:numPr>
          <w:ilvl w:val="0"/>
          <w:numId w:val="20"/>
        </w:numPr>
        <w:spacing w:after="80" w:line="290" w:lineRule="auto"/>
        <w:ind w:left="540" w:hanging="279"/>
      </w:pPr>
      <w:r>
        <w:rPr>
          <w:rFonts w:ascii="Calibri" w:hAnsi="Calibri" w:eastAsia="PingFang SC"/>
        </w:rPr>
        <w:t>确定性 verifier：文件、格式、预算、权限、代码测试；</w:t>
      </w:r>
    </w:p>
    <w:p>
      <w:pPr>
        <w:numPr>
          <w:ilvl w:val="0"/>
          <w:numId w:val="20"/>
        </w:numPr>
        <w:spacing w:after="80" w:line="290" w:lineRule="auto"/>
        <w:ind w:left="540" w:hanging="279"/>
      </w:pPr>
      <w:r>
        <w:rPr>
          <w:rFonts w:ascii="Calibri" w:hAnsi="Calibri" w:eastAsia="PingFang SC"/>
        </w:rPr>
        <w:t>证据 verifier：claim 是否有支持、引用是否覆盖、来源是否可靠；</w:t>
      </w:r>
    </w:p>
    <w:p>
      <w:pPr>
        <w:numPr>
          <w:ilvl w:val="0"/>
          <w:numId w:val="20"/>
        </w:numPr>
        <w:spacing w:after="80" w:line="290" w:lineRule="auto"/>
        <w:ind w:left="540" w:hanging="279"/>
      </w:pPr>
      <w:r>
        <w:rPr>
          <w:rFonts w:ascii="Calibri" w:hAnsi="Calibri" w:eastAsia="PingFang SC"/>
        </w:rPr>
        <w:t>强通用 judge：按照冻结的 rubric 逐项判断并定位证据；</w:t>
      </w:r>
    </w:p>
    <w:p>
      <w:pPr>
        <w:numPr>
          <w:ilvl w:val="0"/>
          <w:numId w:val="20"/>
        </w:numPr>
        <w:spacing w:after="80" w:line="290" w:lineRule="auto"/>
        <w:ind w:left="540" w:hanging="279"/>
      </w:pPr>
      <w:r>
        <w:rPr>
          <w:rFonts w:ascii="Calibri" w:hAnsi="Calibri" w:eastAsia="PingFang SC"/>
        </w:rPr>
        <w:t>人类：目标用户判断是否有用，领域专家判断是否专业正确。</w:t>
      </w:r>
    </w:p>
    <w:p>
      <w:pPr>
        <w:pStyle w:val="Heading2"/>
      </w:pPr>
      <w:r>
        <w:t>9.2 JudgeBench</w:t>
      </w:r>
    </w:p>
    <w:p>
      <w:r>
        <w:rPr>
          <w:rFonts w:ascii="Calibri" w:hAnsi="Calibri" w:eastAsia="PingFang SC"/>
        </w:rPr>
        <w:t>用 240 个独立判分单元测试 judge，包括：正确答案、边界答案、位置交换、长度诱饵、漂亮格式诱饵、persona 关键词堆叠、隐私泄露和应当弃权的样本。</w:t>
      </w:r>
    </w:p>
    <w:p>
      <w:r>
        <w:rPr>
          <w:rFonts w:ascii="Calibri" w:hAnsi="Calibri" w:eastAsia="PingFang SC"/>
        </w:rPr>
        <w:t>它还要专门覆盖 PDR 暴露或尚未覆盖的五类问题：低人类一致性、动态 criterion 重生成、通用 evaluator 与目标用户判断不一致、claim extraction/retrieval/support 链式误差、以及 P/Q/R 补偿关键失败。对应做 criterion 多次重生成稳定性、target-user matched/swapped、claim-recall 审计、抓取失败单列和 hard-gate 对照。</w:t>
      </w:r>
    </w:p>
    <w:p>
      <w:r>
        <w:rPr>
          <w:rFonts w:ascii="Calibri" w:hAnsi="Calibri" w:eastAsia="PingFang SC"/>
        </w:rPr>
        <w:t>主 judge 至少要达到预注册的一致性、位置稳定性、群体差距和校准门槛。不达标的 rubric 改成人评或不进入主榜。</w:t>
      </w:r>
    </w:p>
    <w:p>
      <w:pPr>
        <w:pStyle w:val="Heading2"/>
      </w:pPr>
      <w:r>
        <w:t>9.3 为什么 SFT scorer 不是当前主线</w:t>
      </w:r>
    </w:p>
    <w:p>
      <w:r>
        <w:rPr>
          <w:rFonts w:ascii="Calibri" w:hAnsi="Calibri" w:eastAsia="PingFang SC"/>
        </w:rPr>
        <w:t>“人工 0/1 + GPT 理由”可以训练便宜 scorer，但 GPT 理由不是新的 ground truth，它可能只是在已知标签后合理化。两个月主线采用：</w:t>
      </w:r>
    </w:p>
    <w:p>
      <w:pPr>
        <w:spacing w:before="80" w:after="160" w:line="240" w:lineRule="auto"/>
        <w:ind w:left="360" w:right="216"/>
        <w:jc w:val="left"/>
        <w:shd w:fill="EEF2F5"/>
      </w:pPr>
      <w:r>
        <w:rPr>
          <w:rFonts w:ascii="Courier New" w:hAnsi="Courier New" w:eastAsia="PingFang SC"/>
          <w:color w:val="163A63"/>
          <w:sz w:val="18"/>
        </w:rPr>
        <w:t>确定性/证据 verifier → 强通用 judge → 20% 分层人评和分歧仲裁</w:t>
      </w:r>
    </w:p>
    <w:p>
      <w:r>
        <w:rPr>
          <w:rFonts w:ascii="Calibri" w:hAnsi="Calibri" w:eastAsia="PingFang SC"/>
        </w:rPr>
        <w:t>只有第 4 周前已经有 240 个高质量样本且主实验不受影响时，才做 SFT scorer 附录。它必须按 task family 和 agent 隔离测试；如果不能跨 family 泛化，只能做高置信样本分流。</w:t>
      </w:r>
    </w:p>
    <w:p>
      <w:pPr>
        <w:pStyle w:val="Heading1"/>
      </w:pPr>
      <w:r>
        <w:t>10. 我们要报告哪些失败</w:t>
      </w:r>
    </w:p>
    <w:p>
      <w:pPr>
        <w:numPr>
          <w:ilvl w:val="0"/>
          <w:numId w:val="21"/>
        </w:numPr>
        <w:spacing w:after="80" w:line="290" w:lineRule="auto"/>
        <w:ind w:left="540" w:hanging="279"/>
      </w:pPr>
      <w:r>
        <w:rPr>
          <w:rFonts w:ascii="Calibri" w:hAnsi="Calibri" w:eastAsia="PingFang SC"/>
        </w:rPr>
        <w:t>缺信息时既不获取也不澄清；</w:t>
      </w:r>
    </w:p>
    <w:p>
      <w:pPr>
        <w:numPr>
          <w:ilvl w:val="0"/>
          <w:numId w:val="21"/>
        </w:numPr>
        <w:spacing w:after="80" w:line="290" w:lineRule="auto"/>
        <w:ind w:left="540" w:hanging="279"/>
      </w:pPr>
      <w:r>
        <w:rPr>
          <w:rFonts w:ascii="Calibri" w:hAnsi="Calibri" w:eastAsia="PingFang SC"/>
        </w:rPr>
        <w:t>没有依据就猜用户属性；</w:t>
      </w:r>
    </w:p>
    <w:p>
      <w:pPr>
        <w:numPr>
          <w:ilvl w:val="0"/>
          <w:numId w:val="21"/>
        </w:numPr>
        <w:spacing w:after="80" w:line="290" w:lineRule="auto"/>
        <w:ind w:left="540" w:hanging="279"/>
      </w:pPr>
      <w:r>
        <w:rPr>
          <w:rFonts w:ascii="Calibri" w:hAnsi="Calibri" w:eastAsia="PingFang SC"/>
        </w:rPr>
        <w:t>检索错了、漏了或拿到无关用户信息；</w:t>
      </w:r>
    </w:p>
    <w:p>
      <w:pPr>
        <w:numPr>
          <w:ilvl w:val="0"/>
          <w:numId w:val="21"/>
        </w:numPr>
        <w:spacing w:after="80" w:line="290" w:lineRule="auto"/>
        <w:ind w:left="540" w:hanging="279"/>
      </w:pPr>
      <w:r>
        <w:rPr>
          <w:rFonts w:ascii="Calibri" w:hAnsi="Calibri" w:eastAsia="PingFang SC"/>
        </w:rPr>
        <w:t>明明知道预算、权限或格式要求却忽略；</w:t>
      </w:r>
    </w:p>
    <w:p>
      <w:pPr>
        <w:numPr>
          <w:ilvl w:val="0"/>
          <w:numId w:val="21"/>
        </w:numPr>
        <w:spacing w:after="80" w:line="290" w:lineRule="auto"/>
        <w:ind w:left="540" w:hanging="279"/>
      </w:pPr>
      <w:r>
        <w:rPr>
          <w:rFonts w:ascii="Calibri" w:hAnsi="Calibri" w:eastAsia="PingFang SC"/>
        </w:rPr>
        <w:t>新旧信息冲突时仍使用过期内容；</w:t>
      </w:r>
    </w:p>
    <w:p>
      <w:pPr>
        <w:numPr>
          <w:ilvl w:val="0"/>
          <w:numId w:val="21"/>
        </w:numPr>
        <w:spacing w:after="80" w:line="290" w:lineRule="auto"/>
        <w:ind w:left="540" w:hanging="279"/>
      </w:pPr>
      <w:r>
        <w:rPr>
          <w:rFonts w:ascii="Calibri" w:hAnsi="Calibri" w:eastAsia="PingFang SC"/>
        </w:rPr>
        <w:t>会复述用户信息，但没有落实到结果；</w:t>
      </w:r>
    </w:p>
    <w:p>
      <w:pPr>
        <w:numPr>
          <w:ilvl w:val="0"/>
          <w:numId w:val="21"/>
        </w:numPr>
        <w:spacing w:after="80" w:line="290" w:lineRule="auto"/>
        <w:ind w:left="540" w:hanging="279"/>
      </w:pPr>
      <w:r>
        <w:rPr>
          <w:rFonts w:ascii="Calibri" w:hAnsi="Calibri" w:eastAsia="PingFang SC"/>
        </w:rPr>
        <w:t>在不该变化的地方强行个性化；</w:t>
      </w:r>
    </w:p>
    <w:p>
      <w:pPr>
        <w:numPr>
          <w:ilvl w:val="0"/>
          <w:numId w:val="21"/>
        </w:numPr>
        <w:spacing w:after="80" w:line="290" w:lineRule="auto"/>
        <w:ind w:left="540" w:hanging="279"/>
      </w:pPr>
      <w:r>
        <w:rPr>
          <w:rFonts w:ascii="Calibri" w:hAnsi="Calibri" w:eastAsia="PingFang SC"/>
        </w:rPr>
        <w:t>越权访问或披露敏感信息；</w:t>
      </w:r>
    </w:p>
    <w:p>
      <w:pPr>
        <w:numPr>
          <w:ilvl w:val="0"/>
          <w:numId w:val="21"/>
        </w:numPr>
        <w:spacing w:after="80" w:line="290" w:lineRule="auto"/>
        <w:ind w:left="540" w:hanging="279"/>
      </w:pPr>
      <w:r>
        <w:rPr>
          <w:rFonts w:ascii="Calibri" w:hAnsi="Calibri" w:eastAsia="PingFang SC"/>
        </w:rPr>
        <w:t>长任务或 agent 交接后丢失约束；</w:t>
      </w:r>
    </w:p>
    <w:p>
      <w:r>
        <w:rPr>
          <w:rFonts w:ascii="Calibri" w:hAnsi="Calibri" w:eastAsia="PingFang SC"/>
        </w:rPr>
        <w:t xml:space="preserve">这些是 case 的“预期测试目标”，不是运行结果。真实失败必须由输出或轨迹证据另行标注，并保留 </w:t>
      </w:r>
      <w:r>
        <w:rPr>
          <w:rFonts w:ascii="Courier New" w:hAnsi="Courier New" w:eastAsia="PingFang SC"/>
          <w:color w:val="6A3E00"/>
          <w:sz w:val="20"/>
        </w:rPr>
        <w:t>other/emergent</w:t>
      </w:r>
      <w:r>
        <w:rPr>
          <w:rFonts w:ascii="Calibri" w:hAnsi="Calibri" w:eastAsia="PingFang SC"/>
        </w:rPr>
        <w:t xml:space="preserve"> 类，避免只发现作者预设的错误。</w:t>
      </w:r>
    </w:p>
    <w:p>
      <w:pPr>
        <w:pStyle w:val="Heading1"/>
      </w:pPr>
      <w:r>
        <w:t>11. 两个月执行计划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000"/>
        <w:gridCol w:w="4660"/>
      </w:tblGrid>
      <w:tr>
        <w:trPr>
          <w:tblHeader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40" w:line="259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PingFang SC"/>
                <w:b/>
                <w:color w:val="163A63"/>
                <w:sz w:val="18"/>
              </w:rPr>
              <w:t>周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40" w:line="259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PingFang SC"/>
                <w:b/>
                <w:color w:val="163A63"/>
                <w:sz w:val="18"/>
              </w:rPr>
              <w:t>必须完成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40" w:line="259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PingFang SC"/>
                <w:b/>
                <w:color w:val="163A63"/>
                <w:sz w:val="18"/>
              </w:rPr>
              <w:t>如果失败怎么办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 w:eastAsia="PingFang SC"/>
                <w:sz w:val="18"/>
              </w:rPr>
              <w:t>1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/>
            <w:r>
              <w:rPr>
                <w:rFonts w:ascii="Calibri" w:hAnsi="Calibri" w:eastAsia="PingFang SC"/>
                <w:sz w:val="18"/>
              </w:rPr>
              <w:t>冻结 3 个 decision vertical slice、utility schema 和 task-shell 规则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/>
            <w:r>
              <w:rPr>
                <w:rFonts w:ascii="Calibri" w:hAnsi="Calibri" w:eastAsia="PingFang SC"/>
                <w:sz w:val="18"/>
              </w:rPr>
              <w:t>删除不可验证或答案泄漏任务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 w:eastAsia="PingFang SC"/>
                <w:sz w:val="18"/>
              </w:rPr>
              <w:t>2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/>
            <w:r>
              <w:rPr>
                <w:rFonts w:ascii="Calibri" w:hAnsi="Calibri" w:eastAsia="PingFang SC"/>
                <w:sz w:val="18"/>
              </w:rPr>
              <w:t>三臂参考报告、Phase A 配平、盲化与 consent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/>
            <w:r>
              <w:rPr>
                <w:rFonts w:ascii="Calibri" w:hAnsi="Calibri" w:eastAsia="PingFang SC"/>
                <w:sz w:val="18"/>
              </w:rPr>
              <w:t>减少交付类型和 agent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 w:eastAsia="PingFang SC"/>
                <w:sz w:val="18"/>
              </w:rPr>
              <w:t>3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/>
            <w:r>
              <w:rPr>
                <w:rFonts w:ascii="Calibri" w:hAnsi="Calibri" w:eastAsia="PingFang SC"/>
                <w:sz w:val="18"/>
              </w:rPr>
              <w:t>小规模真人 pilot，估计方差、顺序效应和流失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/>
            <w:r>
              <w:rPr>
                <w:rFonts w:ascii="Calibri" w:hAnsi="Calibri" w:eastAsia="PingFang SC"/>
                <w:sz w:val="18"/>
              </w:rPr>
              <w:t>修改设计，不扩 family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 w:eastAsia="PingFang SC"/>
                <w:sz w:val="18"/>
              </w:rPr>
              <w:t>4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/>
            <w:r>
              <w:rPr>
                <w:rFonts w:ascii="Calibri" w:hAnsi="Calibri" w:eastAsia="PingFang SC"/>
                <w:sz w:val="18"/>
              </w:rPr>
              <w:t>功效模拟并冻结 8–12 family、样本与预注册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/>
            <w:r>
              <w:rPr>
                <w:rFonts w:ascii="Calibri" w:hAnsi="Calibri" w:eastAsia="PingFang SC"/>
                <w:sz w:val="18"/>
              </w:rPr>
              <w:t>功效不足则减少系统/次要终点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 w:eastAsia="PingFang SC"/>
                <w:sz w:val="18"/>
              </w:rPr>
              <w:t>5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/>
            <w:r>
              <w:rPr>
                <w:rFonts w:ascii="Calibri" w:hAnsi="Calibri" w:eastAsia="PingFang SC"/>
                <w:sz w:val="18"/>
              </w:rPr>
              <w:t>Phase A agent 运行与 Phase B 首批真人实验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/>
            <w:r>
              <w:rPr>
                <w:rFonts w:ascii="Calibri" w:hAnsi="Calibri" w:eastAsia="PingFang SC"/>
                <w:sz w:val="18"/>
              </w:rPr>
              <w:t>暂停 stress layer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 w:eastAsia="PingFang SC"/>
                <w:sz w:val="18"/>
              </w:rPr>
              <w:t>6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/>
            <w:r>
              <w:rPr>
                <w:rFonts w:ascii="Calibri" w:hAnsi="Calibri" w:eastAsia="PingFang SC"/>
                <w:sz w:val="18"/>
              </w:rPr>
              <w:t>完成真人主实验和关键仲裁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/>
            <w:r>
              <w:rPr>
                <w:rFonts w:ascii="Calibri" w:hAnsi="Calibri" w:eastAsia="PingFang SC"/>
                <w:sz w:val="18"/>
              </w:rPr>
              <w:t>保护 DDE 主终点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 w:eastAsia="PingFang SC"/>
                <w:sz w:val="18"/>
              </w:rPr>
              <w:t>7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/>
            <w:r>
              <w:rPr>
                <w:rFonts w:ascii="Calibri" w:hAnsi="Calibri" w:eastAsia="PingFang SC"/>
                <w:sz w:val="18"/>
              </w:rPr>
              <w:t>DDE、错配伤害、代理效度和鲁棒性分析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/>
            <w:r>
              <w:rPr>
                <w:rFonts w:ascii="Calibri" w:hAnsi="Calibri" w:eastAsia="PingFang SC"/>
                <w:sz w:val="18"/>
              </w:rPr>
              <w:t>删除不受支持支线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 w:eastAsia="PingFang SC"/>
                <w:sz w:val="18"/>
              </w:rPr>
              <w:t>8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/>
            <w:r>
              <w:rPr>
                <w:rFonts w:ascii="Calibri" w:hAnsi="Calibri" w:eastAsia="PingFang SC"/>
                <w:sz w:val="18"/>
              </w:rPr>
              <w:t>复现、结果冻结、全文整合和匿名发布材料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/>
            <w:r>
              <w:rPr>
                <w:rFonts w:ascii="Calibri" w:hAnsi="Calibri" w:eastAsia="PingFang SC"/>
                <w:sz w:val="18"/>
              </w:rPr>
              <w:t>不新增 taxonomy、agent 或任务类型</w:t>
            </w:r>
          </w:p>
        </w:tc>
      </w:tr>
    </w:tbl>
    <w:p>
      <w:pPr>
        <w:spacing w:after="40"/>
      </w:pPr>
    </w:p>
    <w:p>
      <w:pPr>
        <w:pStyle w:val="Heading2"/>
      </w:pPr>
      <w:r>
        <w:t>11.1 真正的开工顺序与中稿判断</w:t>
      </w:r>
    </w:p>
    <w:p>
      <w:r>
        <w:rPr>
          <w:rFonts w:ascii="Calibri" w:hAnsi="Calibri" w:eastAsia="PingFang SC"/>
        </w:rPr>
        <w:t>前两周只把 3 个 family 做到“真实用户 → utility → 等价 task shell → 三臂报告 → Phase A 配平 → 盲化 decision trial”全链路。至少 2 个通过 utility、任务等价、质量配平和实施可行性门后，才扩到 8–12 个并做功效冻结。</w:t>
      </w:r>
    </w:p>
    <w:p>
      <w:r>
        <w:rPr>
          <w:rFonts w:ascii="Calibri" w:hAnsi="Calibri" w:eastAsia="PingFang SC"/>
        </w:rPr>
        <w:t>三个环境的现实难度是：E1 Frozen Harness 中等，MVP 约 1.5–2.5 个工程师周，是论文主轨；E3 Stateful Sandbox 最难，在 E1 后还需约 2–4 周，首版只做一个 anchor；E2 商业/live web 很容易 demo，但最难保证版本、reset 和公平比较，每个产品 adapter 约 3–7 天且要持续维护，所以只做单产品外部效度观察，不与 E1 合并显著性。</w:t>
      </w:r>
    </w:p>
    <w:p>
      <w:r>
        <w:rPr>
          <w:rFonts w:ascii="Calibri" w:hAnsi="Calibri" w:eastAsia="PingFang SC"/>
        </w:rPr>
        <w:t>ICLR 官方近年整体录用率约 27%–32%。</w:t>
      </w:r>
      <w:hyperlink r:id="rId40">
        <w:r>
          <w:rPr>
            <w:rFonts w:ascii="Calibri" w:hAnsi="Calibri" w:eastAsia="PingFang SC"/>
            <w:color w:val="2E74B5"/>
            <w:u w:val="single"/>
          </w:rPr>
          <w:t>[42]</w:t>
        </w:r>
      </w:hyperlink>
      <w:hyperlink r:id="rId41">
        <w:r>
          <w:rPr>
            <w:rFonts w:ascii="Calibri" w:hAnsi="Calibri" w:eastAsia="PingFang SC"/>
            <w:color w:val="2E74B5"/>
            <w:u w:val="single"/>
          </w:rPr>
          <w:t>[43]</w:t>
        </w:r>
      </w:hyperlink>
      <w:r>
        <w:rPr>
          <w:rFonts w:ascii="Calibri" w:hAnsi="Calibri" w:eastAsia="PingFang SC"/>
        </w:rPr>
        <w:t xml:space="preserve"> v0.33 已用合成 pilot 验证 Phase A 有信号并修正差值假阳性，但没有真人 DDE，因此不能上调论文成功判断。真正决定投稿强度的是 DDE/错配伤害是否稳定、报告是否配平、设计是否可复现，而不是合成 family 的漂亮通过率。</w:t>
      </w:r>
    </w:p>
    <w:p>
      <w:pPr>
        <w:pStyle w:val="Heading1"/>
      </w:pPr>
      <w:r>
        <w:t>12. 顶会评审最可能问什么</w:t>
      </w:r>
    </w:p>
    <w:p>
      <w:pPr>
        <w:pStyle w:val="Heading2"/>
      </w:pPr>
      <w:r>
        <w:t>12.1 这是不是 PDR-Bench 扩大版</w:t>
      </w:r>
    </w:p>
    <w:p>
      <w:r>
        <w:rPr>
          <w:rFonts w:ascii="Calibri" w:hAnsi="Calibri" w:eastAsia="PingFang SC"/>
        </w:rPr>
        <w:t>应先承认 PDR-Bench 已经测 task–persona 条件下的 absolute adaptation，v0.31 也只是把 fit 的识别做得更严格。v0.32 的证据必须来自 artifact → real-user decision：Phase A 证明报告处理成立，Phase B 证明或否定 DDE。PDR 的 judge 边界解释为什么需要 Phase A，但不再充当核心创新。</w:t>
      </w:r>
    </w:p>
    <w:p>
      <w:pPr>
        <w:pStyle w:val="Heading2"/>
      </w:pPr>
      <w:r>
        <w:t>12.2 Persona 是不是作者想象</w:t>
      </w:r>
    </w:p>
    <w:p>
      <w:r>
        <w:rPr>
          <w:rFonts w:ascii="Calibri" w:hAnsi="Calibri" w:eastAsia="PingFang SC"/>
        </w:rPr>
        <w:t>主数据必须来自真实用户确认或 user-anchored 需求。人口属性不能直接生成偏好。matched 交付物需要目标用户盲评，persona-task pairing 必须通过六道检查。</w:t>
      </w:r>
    </w:p>
    <w:p>
      <w:pPr>
        <w:pStyle w:val="Heading2"/>
      </w:pPr>
      <w:r>
        <w:t>12.3 元数据很多，但真正测得很少</w:t>
      </w:r>
    </w:p>
    <w:p>
      <w:r>
        <w:rPr>
          <w:rFonts w:ascii="Calibri" w:hAnsi="Calibri" w:eastAsia="PingFang SC"/>
        </w:rPr>
        <w:t>明确区分 ontology scope 和 empirical coverage；公开 coverage manifest、选择规则和缺口。没有测试的组合不做结论。</w:t>
      </w:r>
    </w:p>
    <w:p>
      <w:pPr>
        <w:pStyle w:val="Heading2"/>
      </w:pPr>
      <w:r>
        <w:t>12.4 不同任务的 rubric 能不能比较</w:t>
      </w:r>
    </w:p>
    <w:p>
      <w:r>
        <w:rPr>
          <w:rFonts w:ascii="Calibri" w:hAnsi="Calibri" w:eastAsia="PingFang SC"/>
        </w:rPr>
        <w:t>统一的是 rubric schema、评价契约和校准程序，不假设所有模块天然等距。论文主要报告任务内反事实效应、模块完成率和分层结果；没有共同 anchor 就不制造统一总榜。</w:t>
      </w:r>
    </w:p>
    <w:p>
      <w:pPr>
        <w:pStyle w:val="Heading2"/>
      </w:pPr>
      <w:r>
        <w:t>12.5 Final-only 能不能证明获取、保持、利用和更新</w:t>
      </w:r>
    </w:p>
    <w:p>
      <w:r>
        <w:rPr>
          <w:rFonts w:ascii="Calibri" w:hAnsi="Calibri" w:eastAsia="PingFang SC"/>
        </w:rPr>
        <w:t>不能。最终交付物支持“结果是否适合用户”的主张；机制性主张需要受控重跑或轨迹证据。若诊断实验没有完成，就缩小论文主张。</w:t>
      </w:r>
    </w:p>
    <w:p>
      <w:pPr>
        <w:pStyle w:val="Heading2"/>
      </w:pPr>
      <w:r>
        <w:t>12.6 Judge 会不会循环定义答案</w:t>
      </w:r>
    </w:p>
    <w:p>
      <w:r>
        <w:rPr>
          <w:rFonts w:ascii="Calibri" w:hAnsi="Calibri" w:eastAsia="PingFang SC"/>
        </w:rPr>
        <w:t>Rubric 在输出前冻结；客观项优先用 verifier；judge 只做需要语义判断的叶节点；独立 JudgeBench 和人评决定哪些指标可以进入主榜。</w:t>
      </w:r>
    </w:p>
    <w:p>
      <w:pPr>
        <w:pStyle w:val="Heading1"/>
      </w:pPr>
      <w:r>
        <w:t>13. 论文最后可以声称什么</w:t>
      </w:r>
    </w:p>
    <w:p>
      <w:r>
        <w:rPr>
          <w:rFonts w:ascii="Calibri" w:hAnsi="Calibri" w:eastAsia="PingFang SC"/>
        </w:rPr>
        <w:t>如果主要门槛通过，论文可以声称：</w:t>
      </w:r>
    </w:p>
    <w:p>
      <w:pPr>
        <w:pStyle w:val="ListBullet"/>
      </w:pPr>
      <w:r>
        <w:rPr>
          <w:rFonts w:ascii="Calibri" w:hAnsi="Calibri" w:eastAsia="PingFang SC"/>
        </w:rPr>
        <w:t>提供了一个把个性化研究交付物作为随机处理的两阶段 benchmark；</w:t>
      </w:r>
    </w:p>
    <w:p>
      <w:pPr>
        <w:pStyle w:val="ListBullet"/>
      </w:pPr>
      <w:r>
        <w:rPr>
          <w:rFonts w:ascii="Calibri" w:hAnsi="Calibri" w:eastAsia="PingFang SC"/>
        </w:rPr>
        <w:t>matched 报告是否降低真实用户的可验证 decision regret，wrong-user 报告是否产生伤害；</w:t>
      </w:r>
    </w:p>
    <w:p>
      <w:pPr>
        <w:pStyle w:val="ListBullet"/>
      </w:pPr>
      <w:r>
        <w:rPr>
          <w:rFonts w:ascii="Calibri" w:hAnsi="Calibri" w:eastAsia="PingFang SC"/>
        </w:rPr>
        <w:t>PF/CFA 何时能、何时不能作为真实决策收益的代理；</w:t>
      </w:r>
    </w:p>
    <w:p>
      <w:pPr>
        <w:pStyle w:val="ListBullet"/>
      </w:pPr>
      <w:r>
        <w:rPr>
          <w:rFonts w:ascii="Calibri" w:hAnsi="Calibri" w:eastAsia="PingFang SC"/>
        </w:rPr>
        <w:t>模块化 rubric、utility verifier 与独立 judge 校准如何支持复现；</w:t>
      </w:r>
    </w:p>
    <w:p>
      <w:pPr>
        <w:pStyle w:val="ListBullet"/>
      </w:pPr>
      <w:r>
        <w:rPr>
          <w:rFonts w:ascii="Calibri" w:hAnsi="Calibri" w:eastAsia="PingFang SC"/>
        </w:rPr>
        <w:t>若完成诊断子集，可以报告少量长程或证据压力下的异质性。</w:t>
      </w:r>
    </w:p>
    <w:p>
      <w:r>
        <w:rPr>
          <w:rFonts w:ascii="Calibri" w:hAnsi="Calibri" w:eastAsia="PingFang SC"/>
        </w:rPr>
        <w:t>论文不能声称：已经穷尽所有 Deep Research 模式；每个细分任务都有稳定排名；一个总分可以跨 frozen/live、商业/受控系统和所有交付物直接比较；最终输出能够完整解释 agent 内部何时偏离。</w:t>
      </w:r>
    </w:p>
    <w:p>
      <w:pPr>
        <w:pStyle w:val="Heading1"/>
      </w:pPr>
      <w:r>
        <w:t>参考文献</w:t>
      </w:r>
    </w:p>
    <w:p>
      <w:pPr>
        <w:spacing w:after="0" w:line="216" w:lineRule="auto"/>
        <w:ind w:left="360" w:hanging="360"/>
      </w:pPr>
      <w:r>
        <w:rPr>
          <w:rFonts w:ascii="Calibri" w:hAnsi="Calibri" w:eastAsia="PingFang SC"/>
          <w:sz w:val="16"/>
        </w:rPr>
        <w:t xml:space="preserve">[1] OpenCompass Team. </w:t>
      </w:r>
      <w:r>
        <w:rPr>
          <w:rFonts w:ascii="Calibri" w:hAnsi="Calibri" w:eastAsia="PingFang SC"/>
          <w:i/>
          <w:sz w:val="16"/>
        </w:rPr>
        <w:t>OpenCompass: A Universal Evaluation Platform for Large Language Models</w:t>
      </w:r>
      <w:r>
        <w:rPr>
          <w:rFonts w:ascii="Calibri" w:hAnsi="Calibri" w:eastAsia="PingFang SC"/>
          <w:sz w:val="16"/>
        </w:rPr>
        <w:t>. arXiv:2605.19276, 2026.</w:t>
      </w:r>
    </w:p>
    <w:p>
      <w:pPr>
        <w:spacing w:after="0" w:line="216" w:lineRule="auto"/>
        <w:ind w:left="360" w:hanging="360"/>
      </w:pPr>
      <w:r>
        <w:rPr>
          <w:rFonts w:ascii="Calibri" w:hAnsi="Calibri" w:eastAsia="PingFang SC"/>
          <w:sz w:val="16"/>
        </w:rPr>
        <w:t xml:space="preserve">[2] ModelScope. </w:t>
      </w:r>
      <w:r>
        <w:rPr>
          <w:rFonts w:ascii="Calibri" w:hAnsi="Calibri" w:eastAsia="PingFang SC"/>
          <w:i/>
          <w:sz w:val="16"/>
        </w:rPr>
        <w:t>EvalScope Introduction</w:t>
      </w:r>
      <w:r>
        <w:rPr>
          <w:rFonts w:ascii="Calibri" w:hAnsi="Calibri" w:eastAsia="PingFang SC"/>
          <w:sz w:val="16"/>
        </w:rPr>
        <w:t xml:space="preserve">. </w:t>
      </w:r>
      <w:hyperlink r:id="rId42">
        <w:r>
          <w:rPr>
            <w:rFonts w:ascii="Calibri" w:hAnsi="Calibri" w:eastAsia="PingFang SC"/>
            <w:color w:val="2E74B5"/>
            <w:u w:val="single"/>
            <w:sz w:val="16"/>
            <w:szCs w:val="16"/>
          </w:rPr>
          <w:t>https://evalscope.readthedocs.io/en/refact_readme/get_started/introduction.html</w:t>
        </w:r>
      </w:hyperlink>
    </w:p>
    <w:p>
      <w:pPr>
        <w:spacing w:after="0" w:line="216" w:lineRule="auto"/>
        <w:ind w:left="360" w:hanging="360"/>
      </w:pPr>
      <w:r>
        <w:rPr>
          <w:rFonts w:ascii="Calibri" w:hAnsi="Calibri" w:eastAsia="PingFang SC"/>
          <w:sz w:val="16"/>
        </w:rPr>
        <w:t xml:space="preserve">[3] Zhang et al. </w:t>
      </w:r>
      <w:r>
        <w:rPr>
          <w:rFonts w:ascii="Calibri" w:hAnsi="Calibri" w:eastAsia="PingFang SC"/>
          <w:i/>
          <w:sz w:val="16"/>
        </w:rPr>
        <w:t>Agent-SafetyBench: Evaluating the Safety of LLM Agents</w:t>
      </w:r>
      <w:r>
        <w:rPr>
          <w:rFonts w:ascii="Calibri" w:hAnsi="Calibri" w:eastAsia="PingFang SC"/>
          <w:sz w:val="16"/>
        </w:rPr>
        <w:t>. arXiv:2412.14470.</w:t>
      </w:r>
    </w:p>
    <w:p>
      <w:pPr>
        <w:spacing w:after="0" w:line="216" w:lineRule="auto"/>
        <w:ind w:left="360" w:hanging="360"/>
      </w:pPr>
      <w:r>
        <w:rPr>
          <w:rFonts w:ascii="Calibri" w:hAnsi="Calibri" w:eastAsia="PingFang SC"/>
          <w:sz w:val="16"/>
        </w:rPr>
        <w:t xml:space="preserve">[4] </w:t>
      </w:r>
      <w:r>
        <w:rPr>
          <w:rFonts w:ascii="Calibri" w:hAnsi="Calibri" w:eastAsia="PingFang SC"/>
          <w:i/>
          <w:sz w:val="16"/>
        </w:rPr>
        <w:t>Towards Personalized Deep Research: Benchmarks and Evaluations</w:t>
      </w:r>
      <w:r>
        <w:rPr>
          <w:rFonts w:ascii="Calibri" w:hAnsi="Calibri" w:eastAsia="PingFang SC"/>
          <w:sz w:val="16"/>
        </w:rPr>
        <w:t>. arXiv:2509.25106.</w:t>
      </w:r>
    </w:p>
    <w:p>
      <w:pPr>
        <w:spacing w:after="0" w:line="216" w:lineRule="auto"/>
        <w:ind w:left="360" w:hanging="360"/>
      </w:pPr>
      <w:r>
        <w:rPr>
          <w:rFonts w:ascii="Calibri" w:hAnsi="Calibri" w:eastAsia="PingFang SC"/>
          <w:sz w:val="16"/>
        </w:rPr>
        <w:t xml:space="preserve">[5] Wang et al. </w:t>
      </w:r>
      <w:r>
        <w:rPr>
          <w:rFonts w:ascii="Calibri" w:hAnsi="Calibri" w:eastAsia="PingFang SC"/>
          <w:i/>
          <w:sz w:val="16"/>
        </w:rPr>
        <w:t>LiveResearchBench: A Live Benchmark for User-Centric Deep Research in the Wild</w:t>
      </w:r>
      <w:r>
        <w:rPr>
          <w:rFonts w:ascii="Calibri" w:hAnsi="Calibri" w:eastAsia="PingFang SC"/>
          <w:sz w:val="16"/>
        </w:rPr>
        <w:t>. arXiv:2510.14240.</w:t>
      </w:r>
    </w:p>
    <w:p>
      <w:pPr>
        <w:spacing w:after="0" w:line="216" w:lineRule="auto"/>
        <w:ind w:left="360" w:hanging="360"/>
      </w:pPr>
      <w:r>
        <w:rPr>
          <w:rFonts w:ascii="Calibri" w:hAnsi="Calibri" w:eastAsia="PingFang SC"/>
          <w:sz w:val="16"/>
        </w:rPr>
        <w:t xml:space="preserve">[6] Sharma et al. </w:t>
      </w:r>
      <w:r>
        <w:rPr>
          <w:rFonts w:ascii="Calibri" w:hAnsi="Calibri" w:eastAsia="PingFang SC"/>
          <w:i/>
          <w:sz w:val="16"/>
        </w:rPr>
        <w:t>ResearchRubrics: A Benchmark of Prompts and Rubrics for Evaluating Deep Research Agents</w:t>
      </w:r>
      <w:r>
        <w:rPr>
          <w:rFonts w:ascii="Calibri" w:hAnsi="Calibri" w:eastAsia="PingFang SC"/>
          <w:sz w:val="16"/>
        </w:rPr>
        <w:t>. arXiv:2511.07685.</w:t>
      </w:r>
    </w:p>
    <w:p>
      <w:pPr>
        <w:spacing w:after="0" w:line="216" w:lineRule="auto"/>
        <w:ind w:left="360" w:hanging="360"/>
      </w:pPr>
      <w:r>
        <w:rPr>
          <w:rFonts w:ascii="Calibri" w:hAnsi="Calibri" w:eastAsia="PingFang SC"/>
          <w:sz w:val="16"/>
        </w:rPr>
        <w:t xml:space="preserve">[7] Java et al. </w:t>
      </w:r>
      <w:r>
        <w:rPr>
          <w:rFonts w:ascii="Calibri" w:hAnsi="Calibri" w:eastAsia="PingFang SC"/>
          <w:i/>
          <w:sz w:val="16"/>
        </w:rPr>
        <w:t>Characterizing Deep Research: A Benchmark and Formal Definition</w:t>
      </w:r>
      <w:r>
        <w:rPr>
          <w:rFonts w:ascii="Calibri" w:hAnsi="Calibri" w:eastAsia="PingFang SC"/>
          <w:sz w:val="16"/>
        </w:rPr>
        <w:t>. arXiv:2508.04183.</w:t>
      </w:r>
    </w:p>
    <w:p>
      <w:pPr>
        <w:spacing w:after="0" w:line="216" w:lineRule="auto"/>
        <w:ind w:left="360" w:hanging="360"/>
      </w:pPr>
      <w:r>
        <w:rPr>
          <w:rFonts w:ascii="Calibri" w:hAnsi="Calibri" w:eastAsia="PingFang SC"/>
          <w:sz w:val="16"/>
        </w:rPr>
        <w:t xml:space="preserve">[8] Yoran et al. </w:t>
      </w:r>
      <w:r>
        <w:rPr>
          <w:rFonts w:ascii="Calibri" w:hAnsi="Calibri" w:eastAsia="PingFang SC"/>
          <w:i/>
          <w:sz w:val="16"/>
        </w:rPr>
        <w:t>AssistantBench: Can Web Agents Solve Realistic and Time-Consuming Tasks?</w:t>
      </w:r>
      <w:r>
        <w:rPr>
          <w:rFonts w:ascii="Calibri" w:hAnsi="Calibri" w:eastAsia="PingFang SC"/>
          <w:sz w:val="16"/>
        </w:rPr>
        <w:t xml:space="preserve"> arXiv:2407.15711.</w:t>
      </w:r>
    </w:p>
    <w:p>
      <w:pPr>
        <w:spacing w:after="0" w:line="216" w:lineRule="auto"/>
        <w:ind w:left="360" w:hanging="360"/>
      </w:pPr>
      <w:r>
        <w:rPr>
          <w:rFonts w:ascii="Calibri" w:hAnsi="Calibri" w:eastAsia="PingFang SC"/>
          <w:sz w:val="16"/>
        </w:rPr>
        <w:t xml:space="preserve">[9] Liang et al. </w:t>
      </w:r>
      <w:r>
        <w:rPr>
          <w:rFonts w:ascii="Calibri" w:hAnsi="Calibri" w:eastAsia="PingFang SC"/>
          <w:i/>
          <w:sz w:val="16"/>
        </w:rPr>
        <w:t>Holistic Evaluation of Language Models</w:t>
      </w:r>
      <w:r>
        <w:rPr>
          <w:rFonts w:ascii="Calibri" w:hAnsi="Calibri" w:eastAsia="PingFang SC"/>
          <w:sz w:val="16"/>
        </w:rPr>
        <w:t>. TMLR, 2023.</w:t>
      </w:r>
    </w:p>
    <w:p>
      <w:pPr>
        <w:spacing w:after="0" w:line="216" w:lineRule="auto"/>
        <w:ind w:left="360" w:hanging="360"/>
      </w:pPr>
      <w:r>
        <w:rPr>
          <w:rFonts w:ascii="Calibri" w:hAnsi="Calibri" w:eastAsia="PingFang SC"/>
          <w:sz w:val="16"/>
        </w:rPr>
        <w:t xml:space="preserve">[10] Ribeiro et al. </w:t>
      </w:r>
      <w:r>
        <w:rPr>
          <w:rFonts w:ascii="Calibri" w:hAnsi="Calibri" w:eastAsia="PingFang SC"/>
          <w:i/>
          <w:sz w:val="16"/>
        </w:rPr>
        <w:t>Beyond Accuracy: Behavioral Testing of NLP Models with CheckList</w:t>
      </w:r>
      <w:r>
        <w:rPr>
          <w:rFonts w:ascii="Calibri" w:hAnsi="Calibri" w:eastAsia="PingFang SC"/>
          <w:sz w:val="16"/>
        </w:rPr>
        <w:t>. ACL, 2020.</w:t>
      </w:r>
    </w:p>
    <w:p>
      <w:pPr>
        <w:spacing w:after="0" w:line="216" w:lineRule="auto"/>
        <w:ind w:left="360" w:hanging="360"/>
      </w:pPr>
      <w:r>
        <w:rPr>
          <w:rFonts w:ascii="Calibri" w:hAnsi="Calibri" w:eastAsia="PingFang SC"/>
          <w:sz w:val="16"/>
        </w:rPr>
        <w:t xml:space="preserve">[11] Reuel et al. </w:t>
      </w:r>
      <w:r>
        <w:rPr>
          <w:rFonts w:ascii="Calibri" w:hAnsi="Calibri" w:eastAsia="PingFang SC"/>
          <w:i/>
          <w:sz w:val="16"/>
        </w:rPr>
        <w:t>BetterBench: Assessing AI Benchmarks, Uncovering Issues, and Establishing Best Practices</w:t>
      </w:r>
      <w:r>
        <w:rPr>
          <w:rFonts w:ascii="Calibri" w:hAnsi="Calibri" w:eastAsia="PingFang SC"/>
          <w:sz w:val="16"/>
        </w:rPr>
        <w:t>. arXiv:2411.12990.</w:t>
      </w:r>
    </w:p>
    <w:p>
      <w:pPr>
        <w:spacing w:after="0" w:line="216" w:lineRule="auto"/>
        <w:ind w:left="360" w:hanging="360"/>
      </w:pPr>
      <w:r>
        <w:rPr>
          <w:rFonts w:ascii="Calibri" w:hAnsi="Calibri" w:eastAsia="PingFang SC"/>
          <w:sz w:val="16"/>
        </w:rPr>
        <w:t xml:space="preserve">[12] Sokol et al. </w:t>
      </w:r>
      <w:r>
        <w:rPr>
          <w:rFonts w:ascii="Calibri" w:hAnsi="Calibri" w:eastAsia="PingFang SC"/>
          <w:i/>
          <w:sz w:val="16"/>
        </w:rPr>
        <w:t>BenchmarkCards: Standardized Documentation for Large Language Model Benchmarks</w:t>
      </w:r>
      <w:r>
        <w:rPr>
          <w:rFonts w:ascii="Calibri" w:hAnsi="Calibri" w:eastAsia="PingFang SC"/>
          <w:sz w:val="16"/>
        </w:rPr>
        <w:t>. NeurIPS Datasets and Benchmarks, 2025.</w:t>
      </w:r>
    </w:p>
    <w:p>
      <w:pPr>
        <w:spacing w:after="0" w:line="216" w:lineRule="auto"/>
        <w:ind w:left="360" w:hanging="360"/>
      </w:pPr>
      <w:r>
        <w:rPr>
          <w:rFonts w:ascii="Calibri" w:hAnsi="Calibri" w:eastAsia="PingFang SC"/>
          <w:sz w:val="16"/>
        </w:rPr>
        <w:t xml:space="preserve">[13] Zeng et al. </w:t>
      </w:r>
      <w:r>
        <w:rPr>
          <w:rFonts w:ascii="Calibri" w:hAnsi="Calibri" w:eastAsia="PingFang SC"/>
          <w:i/>
          <w:sz w:val="16"/>
        </w:rPr>
        <w:t>Setoka</w:t>
      </w:r>
      <w:r>
        <w:rPr>
          <w:rFonts w:ascii="Calibri" w:hAnsi="Calibri" w:eastAsia="PingFang SC"/>
          <w:sz w:val="16"/>
        </w:rPr>
        <w:t>. arXiv:2607.27056, 2026.</w:t>
      </w:r>
    </w:p>
    <w:p>
      <w:pPr>
        <w:spacing w:after="0" w:line="216" w:lineRule="auto"/>
        <w:ind w:left="360" w:hanging="360"/>
      </w:pPr>
      <w:r>
        <w:rPr>
          <w:rFonts w:ascii="Calibri" w:hAnsi="Calibri" w:eastAsia="PingFang SC"/>
          <w:sz w:val="16"/>
        </w:rPr>
        <w:t xml:space="preserve">[14] Qian et al. </w:t>
      </w:r>
      <w:r>
        <w:rPr>
          <w:rFonts w:ascii="Calibri" w:hAnsi="Calibri" w:eastAsia="PingFang SC"/>
          <w:i/>
          <w:sz w:val="16"/>
        </w:rPr>
        <w:t>Toward User-Conditioned Evaluation of Personal LLM Agents under Temporal Interventions</w:t>
      </w:r>
      <w:r>
        <w:rPr>
          <w:rFonts w:ascii="Calibri" w:hAnsi="Calibri" w:eastAsia="PingFang SC"/>
          <w:sz w:val="16"/>
        </w:rPr>
        <w:t>. arXiv:2607.21635, 2026.</w:t>
      </w:r>
    </w:p>
    <w:p>
      <w:pPr>
        <w:spacing w:after="0" w:line="216" w:lineRule="auto"/>
        <w:ind w:left="360" w:hanging="360"/>
      </w:pPr>
      <w:r>
        <w:rPr>
          <w:rFonts w:ascii="Calibri" w:hAnsi="Calibri" w:eastAsia="PingFang SC"/>
          <w:sz w:val="16"/>
        </w:rPr>
        <w:t xml:space="preserve">[15] Yang et al. </w:t>
      </w:r>
      <w:r>
        <w:rPr>
          <w:rFonts w:ascii="Calibri" w:hAnsi="Calibri" w:eastAsia="PingFang SC"/>
          <w:i/>
          <w:sz w:val="16"/>
        </w:rPr>
        <w:t>PersonaTrail</w:t>
      </w:r>
      <w:r>
        <w:rPr>
          <w:rFonts w:ascii="Calibri" w:hAnsi="Calibri" w:eastAsia="PingFang SC"/>
          <w:sz w:val="16"/>
        </w:rPr>
        <w:t>. arXiv:2607.20482, 2026.</w:t>
      </w:r>
    </w:p>
    <w:p>
      <w:pPr>
        <w:spacing w:after="0" w:line="216" w:lineRule="auto"/>
        <w:ind w:left="360" w:hanging="360"/>
      </w:pPr>
      <w:r>
        <w:rPr>
          <w:rFonts w:ascii="Calibri" w:hAnsi="Calibri" w:eastAsia="PingFang SC"/>
          <w:sz w:val="16"/>
        </w:rPr>
        <w:t xml:space="preserve">[16] Todisco et al. </w:t>
      </w:r>
      <w:r>
        <w:rPr>
          <w:rFonts w:ascii="Calibri" w:hAnsi="Calibri" w:eastAsia="PingFang SC"/>
          <w:i/>
          <w:sz w:val="16"/>
        </w:rPr>
        <w:t>TARS</w:t>
      </w:r>
      <w:r>
        <w:rPr>
          <w:rFonts w:ascii="Calibri" w:hAnsi="Calibri" w:eastAsia="PingFang SC"/>
          <w:sz w:val="16"/>
        </w:rPr>
        <w:t>. arXiv:2607.15948, 2026.</w:t>
      </w:r>
    </w:p>
    <w:p>
      <w:pPr>
        <w:spacing w:after="0" w:line="216" w:lineRule="auto"/>
        <w:ind w:left="360" w:hanging="360"/>
      </w:pPr>
      <w:r>
        <w:rPr>
          <w:rFonts w:ascii="Calibri" w:hAnsi="Calibri" w:eastAsia="PingFang SC"/>
          <w:sz w:val="16"/>
        </w:rPr>
        <w:t xml:space="preserve">[17] Yang. </w:t>
      </w:r>
      <w:r>
        <w:rPr>
          <w:rFonts w:ascii="Calibri" w:hAnsi="Calibri" w:eastAsia="PingFang SC"/>
          <w:i/>
          <w:sz w:val="16"/>
        </w:rPr>
        <w:t>Self-Aware Recursively Self-Improving Agents for Personal Singularity</w:t>
      </w:r>
      <w:r>
        <w:rPr>
          <w:rFonts w:ascii="Calibri" w:hAnsi="Calibri" w:eastAsia="PingFang SC"/>
          <w:sz w:val="16"/>
        </w:rPr>
        <w:t>. arXiv:2607.12254, 2026.</w:t>
      </w:r>
    </w:p>
    <w:p>
      <w:pPr>
        <w:spacing w:after="0" w:line="216" w:lineRule="auto"/>
        <w:ind w:left="360" w:hanging="360"/>
      </w:pPr>
      <w:r>
        <w:rPr>
          <w:rFonts w:ascii="Calibri" w:hAnsi="Calibri" w:eastAsia="PingFang SC"/>
          <w:sz w:val="16"/>
        </w:rPr>
        <w:t xml:space="preserve">[18] Mao et al. </w:t>
      </w:r>
      <w:r>
        <w:rPr>
          <w:rFonts w:ascii="Calibri" w:hAnsi="Calibri" w:eastAsia="PingFang SC"/>
          <w:i/>
          <w:sz w:val="16"/>
        </w:rPr>
        <w:t>Agents Don't Just Agree, They Remember</w:t>
      </w:r>
      <w:r>
        <w:rPr>
          <w:rFonts w:ascii="Calibri" w:hAnsi="Calibri" w:eastAsia="PingFang SC"/>
          <w:sz w:val="16"/>
        </w:rPr>
        <w:t>. arXiv:2607.10526, 2026.</w:t>
      </w:r>
    </w:p>
    <w:p>
      <w:pPr>
        <w:spacing w:after="0" w:line="216" w:lineRule="auto"/>
        <w:ind w:left="360" w:hanging="360"/>
      </w:pPr>
      <w:r>
        <w:rPr>
          <w:rFonts w:ascii="Calibri" w:hAnsi="Calibri" w:eastAsia="PingFang SC"/>
          <w:sz w:val="16"/>
        </w:rPr>
        <w:t xml:space="preserve">[19] Yang et al. </w:t>
      </w:r>
      <w:r>
        <w:rPr>
          <w:rFonts w:ascii="Calibri" w:hAnsi="Calibri" w:eastAsia="PingFang SC"/>
          <w:i/>
          <w:sz w:val="16"/>
        </w:rPr>
        <w:t>APeB</w:t>
      </w:r>
      <w:r>
        <w:rPr>
          <w:rFonts w:ascii="Calibri" w:hAnsi="Calibri" w:eastAsia="PingFang SC"/>
          <w:sz w:val="16"/>
        </w:rPr>
        <w:t>. arXiv:2607.03162, 2026.</w:t>
      </w:r>
    </w:p>
    <w:p>
      <w:pPr>
        <w:spacing w:after="0" w:line="216" w:lineRule="auto"/>
        <w:ind w:left="360" w:hanging="360"/>
      </w:pPr>
      <w:r>
        <w:rPr>
          <w:rFonts w:ascii="Calibri" w:hAnsi="Calibri" w:eastAsia="PingFang SC"/>
          <w:sz w:val="16"/>
        </w:rPr>
        <w:t xml:space="preserve">[20] Salemi et al. </w:t>
      </w:r>
      <w:r>
        <w:rPr>
          <w:rFonts w:ascii="Calibri" w:hAnsi="Calibri" w:eastAsia="PingFang SC"/>
          <w:i/>
          <w:sz w:val="16"/>
        </w:rPr>
        <w:t>LaMP: When Large Language Models Meet Personalization</w:t>
      </w:r>
      <w:r>
        <w:rPr>
          <w:rFonts w:ascii="Calibri" w:hAnsi="Calibri" w:eastAsia="PingFang SC"/>
          <w:sz w:val="16"/>
        </w:rPr>
        <w:t xml:space="preserve">. ACL, 2024. </w:t>
      </w:r>
      <w:hyperlink r:id="rId16">
        <w:r>
          <w:rPr>
            <w:rFonts w:ascii="Calibri" w:hAnsi="Calibri" w:eastAsia="PingFang SC"/>
            <w:color w:val="2E74B5"/>
            <w:u w:val="single"/>
            <w:sz w:val="16"/>
            <w:szCs w:val="16"/>
          </w:rPr>
          <w:t>https://aclanthology.org/2024.acl-long.399/</w:t>
        </w:r>
      </w:hyperlink>
    </w:p>
    <w:p>
      <w:pPr>
        <w:spacing w:after="0" w:line="216" w:lineRule="auto"/>
        <w:ind w:left="360" w:hanging="360"/>
      </w:pPr>
      <w:r>
        <w:rPr>
          <w:rFonts w:ascii="Calibri" w:hAnsi="Calibri" w:eastAsia="PingFang SC"/>
          <w:sz w:val="16"/>
        </w:rPr>
        <w:t xml:space="preserve">[21] Singh et al. </w:t>
      </w:r>
      <w:r>
        <w:rPr>
          <w:rFonts w:ascii="Calibri" w:hAnsi="Calibri" w:eastAsia="PingFang SC"/>
          <w:i/>
          <w:sz w:val="16"/>
        </w:rPr>
        <w:t>Personal Large Language Model Agents: A Case Study on Tailored Travel Planning</w:t>
      </w:r>
      <w:r>
        <w:rPr>
          <w:rFonts w:ascii="Calibri" w:hAnsi="Calibri" w:eastAsia="PingFang SC"/>
          <w:sz w:val="16"/>
        </w:rPr>
        <w:t xml:space="preserve">. EMNLP Industry Track, 2024. </w:t>
      </w:r>
      <w:hyperlink r:id="rId22">
        <w:r>
          <w:rPr>
            <w:rFonts w:ascii="Calibri" w:hAnsi="Calibri" w:eastAsia="PingFang SC"/>
            <w:color w:val="2E74B5"/>
            <w:u w:val="single"/>
            <w:sz w:val="16"/>
            <w:szCs w:val="16"/>
          </w:rPr>
          <w:t>https://aclanthology.org/2024.emnlp-industry.37/</w:t>
        </w:r>
      </w:hyperlink>
    </w:p>
    <w:p>
      <w:pPr>
        <w:spacing w:after="0" w:line="216" w:lineRule="auto"/>
        <w:ind w:left="360" w:hanging="360"/>
      </w:pPr>
      <w:r>
        <w:rPr>
          <w:rFonts w:ascii="Calibri" w:hAnsi="Calibri" w:eastAsia="PingFang SC"/>
          <w:sz w:val="16"/>
        </w:rPr>
        <w:t xml:space="preserve">[22] Zhao et al. </w:t>
      </w:r>
      <w:r>
        <w:rPr>
          <w:rFonts w:ascii="Calibri" w:hAnsi="Calibri" w:eastAsia="PingFang SC"/>
          <w:i/>
          <w:sz w:val="16"/>
        </w:rPr>
        <w:t>PersonaLens</w:t>
      </w:r>
      <w:r>
        <w:rPr>
          <w:rFonts w:ascii="Calibri" w:hAnsi="Calibri" w:eastAsia="PingFang SC"/>
          <w:sz w:val="16"/>
        </w:rPr>
        <w:t xml:space="preserve">. Findings of ACL, 2025. </w:t>
      </w:r>
      <w:hyperlink r:id="rId17">
        <w:r>
          <w:rPr>
            <w:rFonts w:ascii="Calibri" w:hAnsi="Calibri" w:eastAsia="PingFang SC"/>
            <w:color w:val="2E74B5"/>
            <w:u w:val="single"/>
            <w:sz w:val="16"/>
            <w:szCs w:val="16"/>
          </w:rPr>
          <w:t>https://aclanthology.org/2025.findings-acl.927/</w:t>
        </w:r>
      </w:hyperlink>
    </w:p>
    <w:p>
      <w:pPr>
        <w:spacing w:after="0" w:line="216" w:lineRule="auto"/>
        <w:ind w:left="360" w:hanging="360"/>
      </w:pPr>
      <w:r>
        <w:rPr>
          <w:rFonts w:ascii="Calibri" w:hAnsi="Calibri" w:eastAsia="PingFang SC"/>
          <w:sz w:val="16"/>
        </w:rPr>
        <w:t xml:space="preserve">[23] Jiang et al. </w:t>
      </w:r>
      <w:r>
        <w:rPr>
          <w:rFonts w:ascii="Calibri" w:hAnsi="Calibri" w:eastAsia="PingFang SC"/>
          <w:i/>
          <w:sz w:val="16"/>
        </w:rPr>
        <w:t>Know Me, Respond to Me</w:t>
      </w:r>
      <w:r>
        <w:rPr>
          <w:rFonts w:ascii="Calibri" w:hAnsi="Calibri" w:eastAsia="PingFang SC"/>
          <w:sz w:val="16"/>
        </w:rPr>
        <w:t>. arXiv:2504.14225, 2025.</w:t>
      </w:r>
    </w:p>
    <w:p>
      <w:pPr>
        <w:spacing w:after="0" w:line="216" w:lineRule="auto"/>
        <w:ind w:left="360" w:hanging="360"/>
      </w:pPr>
      <w:r>
        <w:rPr>
          <w:rFonts w:ascii="Calibri" w:hAnsi="Calibri" w:eastAsia="PingFang SC"/>
          <w:sz w:val="16"/>
        </w:rPr>
        <w:t xml:space="preserve">[24] Hao et al. </w:t>
      </w:r>
      <w:r>
        <w:rPr>
          <w:rFonts w:ascii="Calibri" w:hAnsi="Calibri" w:eastAsia="PingFang SC"/>
          <w:i/>
          <w:sz w:val="16"/>
        </w:rPr>
        <w:t>Evaluating Personalized Tool-Augmented LLMs from the Perspectives of Personalization and Proactivity</w:t>
      </w:r>
      <w:r>
        <w:rPr>
          <w:rFonts w:ascii="Calibri" w:hAnsi="Calibri" w:eastAsia="PingFang SC"/>
          <w:sz w:val="16"/>
        </w:rPr>
        <w:t xml:space="preserve">. ACL, 2025. </w:t>
      </w:r>
      <w:hyperlink r:id="rId23">
        <w:r>
          <w:rPr>
            <w:rFonts w:ascii="Calibri" w:hAnsi="Calibri" w:eastAsia="PingFang SC"/>
            <w:color w:val="2E74B5"/>
            <w:u w:val="single"/>
            <w:sz w:val="16"/>
            <w:szCs w:val="16"/>
          </w:rPr>
          <w:t>https://aclanthology.org/2025.acl-long.1064/</w:t>
        </w:r>
      </w:hyperlink>
    </w:p>
    <w:p>
      <w:pPr>
        <w:spacing w:after="0" w:line="216" w:lineRule="auto"/>
        <w:ind w:left="360" w:hanging="360"/>
      </w:pPr>
      <w:r>
        <w:rPr>
          <w:rFonts w:ascii="Calibri" w:hAnsi="Calibri" w:eastAsia="PingFang SC"/>
          <w:sz w:val="16"/>
        </w:rPr>
        <w:t xml:space="preserve">[25] Cheng et al. </w:t>
      </w:r>
      <w:r>
        <w:rPr>
          <w:rFonts w:ascii="Calibri" w:hAnsi="Calibri" w:eastAsia="PingFang SC"/>
          <w:i/>
          <w:sz w:val="16"/>
        </w:rPr>
        <w:t>ToolSpectrum</w:t>
      </w:r>
      <w:r>
        <w:rPr>
          <w:rFonts w:ascii="Calibri" w:hAnsi="Calibri" w:eastAsia="PingFang SC"/>
          <w:sz w:val="16"/>
        </w:rPr>
        <w:t>. arXiv:2505.13176, 2025.</w:t>
      </w:r>
    </w:p>
    <w:p>
      <w:pPr>
        <w:spacing w:after="0" w:line="216" w:lineRule="auto"/>
        <w:ind w:left="360" w:hanging="360"/>
      </w:pPr>
      <w:r>
        <w:rPr>
          <w:rFonts w:ascii="Calibri" w:hAnsi="Calibri" w:eastAsia="PingFang SC"/>
          <w:sz w:val="16"/>
        </w:rPr>
        <w:t xml:space="preserve">[26] Zhang et al. </w:t>
      </w:r>
      <w:r>
        <w:rPr>
          <w:rFonts w:ascii="Calibri" w:hAnsi="Calibri" w:eastAsia="PingFang SC"/>
          <w:i/>
          <w:sz w:val="16"/>
        </w:rPr>
        <w:t>PRIME</w:t>
      </w:r>
      <w:r>
        <w:rPr>
          <w:rFonts w:ascii="Calibri" w:hAnsi="Calibri" w:eastAsia="PingFang SC"/>
          <w:sz w:val="16"/>
        </w:rPr>
        <w:t xml:space="preserve">. EMNLP, 2025. </w:t>
      </w:r>
      <w:hyperlink r:id="rId43">
        <w:r>
          <w:rPr>
            <w:rFonts w:ascii="Calibri" w:hAnsi="Calibri" w:eastAsia="PingFang SC"/>
            <w:color w:val="2E74B5"/>
            <w:u w:val="single"/>
            <w:sz w:val="16"/>
            <w:szCs w:val="16"/>
          </w:rPr>
          <w:t>https://aclanthology.org/2025.emnlp-main.1711/</w:t>
        </w:r>
      </w:hyperlink>
    </w:p>
    <w:p>
      <w:pPr>
        <w:spacing w:after="0" w:line="216" w:lineRule="auto"/>
        <w:ind w:left="360" w:hanging="360"/>
      </w:pPr>
      <w:r>
        <w:rPr>
          <w:rFonts w:ascii="Calibri" w:hAnsi="Calibri" w:eastAsia="PingFang SC"/>
          <w:sz w:val="16"/>
        </w:rPr>
        <w:t xml:space="preserve">[27] Li et al. </w:t>
      </w:r>
      <w:r>
        <w:rPr>
          <w:rFonts w:ascii="Calibri" w:hAnsi="Calibri" w:eastAsia="PingFang SC"/>
          <w:i/>
          <w:sz w:val="16"/>
        </w:rPr>
        <w:t>Personalized Deep Research: A User-Centric Framework, Dataset, and Hybrid Evaluation</w:t>
      </w:r>
      <w:r>
        <w:rPr>
          <w:rFonts w:ascii="Calibri" w:hAnsi="Calibri" w:eastAsia="PingFang SC"/>
          <w:sz w:val="16"/>
        </w:rPr>
        <w:t>. arXiv:2605.10530, 2026.</w:t>
      </w:r>
    </w:p>
    <w:p>
      <w:pPr>
        <w:spacing w:after="0" w:line="216" w:lineRule="auto"/>
        <w:ind w:left="360" w:hanging="360"/>
      </w:pPr>
      <w:r>
        <w:rPr>
          <w:rFonts w:ascii="Calibri" w:hAnsi="Calibri" w:eastAsia="PingFang SC"/>
          <w:sz w:val="16"/>
        </w:rPr>
        <w:t xml:space="preserve">[28] Balepur et al. </w:t>
      </w:r>
      <w:r>
        <w:rPr>
          <w:rFonts w:ascii="Calibri" w:hAnsi="Calibri" w:eastAsia="PingFang SC"/>
          <w:i/>
          <w:sz w:val="16"/>
        </w:rPr>
        <w:t>Language Models Don't Know What You Want</w:t>
      </w:r>
      <w:r>
        <w:rPr>
          <w:rFonts w:ascii="Calibri" w:hAnsi="Calibri" w:eastAsia="PingFang SC"/>
          <w:sz w:val="16"/>
        </w:rPr>
        <w:t xml:space="preserve">. ACL, 2026. </w:t>
      </w:r>
      <w:hyperlink r:id="rId37">
        <w:r>
          <w:rPr>
            <w:rFonts w:ascii="Calibri" w:hAnsi="Calibri" w:eastAsia="PingFang SC"/>
            <w:color w:val="2E74B5"/>
            <w:u w:val="single"/>
            <w:sz w:val="16"/>
            <w:szCs w:val="16"/>
          </w:rPr>
          <w:t>https://aclanthology.org/2026.acl-long.723/</w:t>
        </w:r>
      </w:hyperlink>
    </w:p>
    <w:p>
      <w:pPr>
        <w:spacing w:after="0" w:line="216" w:lineRule="auto"/>
        <w:ind w:left="360" w:hanging="360"/>
      </w:pPr>
      <w:r>
        <w:rPr>
          <w:rFonts w:ascii="Calibri" w:hAnsi="Calibri" w:eastAsia="PingFang SC"/>
          <w:sz w:val="16"/>
        </w:rPr>
        <w:t xml:space="preserve">[29] Garbacea et al. </w:t>
      </w:r>
      <w:r>
        <w:rPr>
          <w:rFonts w:ascii="Calibri" w:hAnsi="Calibri" w:eastAsia="PingFang SC"/>
          <w:i/>
          <w:sz w:val="16"/>
        </w:rPr>
        <w:t>Personalized Benchmarking: Evaluating LLMs by Individual Preferences</w:t>
      </w:r>
      <w:r>
        <w:rPr>
          <w:rFonts w:ascii="Calibri" w:hAnsi="Calibri" w:eastAsia="PingFang SC"/>
          <w:sz w:val="16"/>
        </w:rPr>
        <w:t xml:space="preserve">. Findings of ACL, 2026. </w:t>
      </w:r>
      <w:hyperlink r:id="rId44">
        <w:r>
          <w:rPr>
            <w:rFonts w:ascii="Calibri" w:hAnsi="Calibri" w:eastAsia="PingFang SC"/>
            <w:color w:val="2E74B5"/>
            <w:u w:val="single"/>
            <w:sz w:val="16"/>
            <w:szCs w:val="16"/>
          </w:rPr>
          <w:t>https://aclanthology.org/2026.findings-acl.31/</w:t>
        </w:r>
      </w:hyperlink>
    </w:p>
    <w:p>
      <w:pPr>
        <w:spacing w:after="0" w:line="216" w:lineRule="auto"/>
        <w:ind w:left="360" w:hanging="360"/>
      </w:pPr>
      <w:r>
        <w:rPr>
          <w:rFonts w:ascii="Calibri" w:hAnsi="Calibri" w:eastAsia="PingFang SC"/>
          <w:sz w:val="16"/>
        </w:rPr>
        <w:t xml:space="preserve">[30] Feng et al. </w:t>
      </w:r>
      <w:r>
        <w:rPr>
          <w:rFonts w:ascii="Calibri" w:hAnsi="Calibri" w:eastAsia="PingFang SC"/>
          <w:i/>
          <w:sz w:val="16"/>
        </w:rPr>
        <w:t>How Does Personalized Memory Shape LLM Behavior?</w:t>
      </w:r>
      <w:r>
        <w:rPr>
          <w:rFonts w:ascii="Calibri" w:hAnsi="Calibri" w:eastAsia="PingFang SC"/>
          <w:sz w:val="16"/>
        </w:rPr>
        <w:t xml:space="preserve"> arXiv:2601.16621, 2026.</w:t>
      </w:r>
    </w:p>
    <w:p>
      <w:pPr>
        <w:spacing w:after="0" w:line="216" w:lineRule="auto"/>
        <w:ind w:left="360" w:hanging="360"/>
      </w:pPr>
      <w:r>
        <w:rPr>
          <w:rFonts w:ascii="Calibri" w:hAnsi="Calibri" w:eastAsia="PingFang SC"/>
          <w:sz w:val="16"/>
        </w:rPr>
        <w:t xml:space="preserve">[31] Liang et al. </w:t>
      </w:r>
      <w:r>
        <w:rPr>
          <w:rFonts w:ascii="Calibri" w:hAnsi="Calibri" w:eastAsia="PingFang SC"/>
          <w:i/>
          <w:sz w:val="16"/>
        </w:rPr>
        <w:t>Learning Personalized Agents from Human Feedback</w:t>
      </w:r>
      <w:r>
        <w:rPr>
          <w:rFonts w:ascii="Calibri" w:hAnsi="Calibri" w:eastAsia="PingFang SC"/>
          <w:sz w:val="16"/>
        </w:rPr>
        <w:t>. arXiv:2602.16173, 2026.</w:t>
      </w:r>
    </w:p>
    <w:p>
      <w:pPr>
        <w:spacing w:after="0" w:line="216" w:lineRule="auto"/>
        <w:ind w:left="360" w:hanging="360"/>
      </w:pPr>
      <w:r>
        <w:rPr>
          <w:rFonts w:ascii="Calibri" w:hAnsi="Calibri" w:eastAsia="PingFang SC"/>
          <w:sz w:val="16"/>
        </w:rPr>
        <w:t xml:space="preserve">[32] In et al. </w:t>
      </w:r>
      <w:r>
        <w:rPr>
          <w:rFonts w:ascii="Calibri" w:hAnsi="Calibri" w:eastAsia="PingFang SC"/>
          <w:i/>
          <w:sz w:val="16"/>
        </w:rPr>
        <w:t>Personalize-then-Store</w:t>
      </w:r>
      <w:r>
        <w:rPr>
          <w:rFonts w:ascii="Calibri" w:hAnsi="Calibri" w:eastAsia="PingFang SC"/>
          <w:sz w:val="16"/>
        </w:rPr>
        <w:t>. arXiv:2605.25535, 2026.</w:t>
      </w:r>
    </w:p>
    <w:p>
      <w:pPr>
        <w:spacing w:after="0" w:line="216" w:lineRule="auto"/>
        <w:ind w:left="360" w:hanging="360"/>
      </w:pPr>
      <w:r>
        <w:rPr>
          <w:rFonts w:ascii="Calibri" w:hAnsi="Calibri" w:eastAsia="PingFang SC"/>
          <w:sz w:val="16"/>
        </w:rPr>
        <w:t xml:space="preserve">[33] Uddin et al. </w:t>
      </w:r>
      <w:r>
        <w:rPr>
          <w:rFonts w:ascii="Calibri" w:hAnsi="Calibri" w:eastAsia="PingFang SC"/>
          <w:i/>
          <w:sz w:val="16"/>
        </w:rPr>
        <w:t>From Recall to Forgetting</w:t>
      </w:r>
      <w:r>
        <w:rPr>
          <w:rFonts w:ascii="Calibri" w:hAnsi="Calibri" w:eastAsia="PingFang SC"/>
          <w:sz w:val="16"/>
        </w:rPr>
        <w:t xml:space="preserve">. Findings of ACL, 2026. </w:t>
      </w:r>
      <w:hyperlink r:id="rId31">
        <w:r>
          <w:rPr>
            <w:rFonts w:ascii="Calibri" w:hAnsi="Calibri" w:eastAsia="PingFang SC"/>
            <w:color w:val="2E74B5"/>
            <w:u w:val="single"/>
            <w:sz w:val="16"/>
            <w:szCs w:val="16"/>
          </w:rPr>
          <w:t>https://aclanthology.org/2026.findings-acl.1337/</w:t>
        </w:r>
      </w:hyperlink>
    </w:p>
    <w:p>
      <w:pPr>
        <w:spacing w:after="0" w:line="216" w:lineRule="auto"/>
        <w:ind w:left="360" w:hanging="360"/>
      </w:pPr>
      <w:r>
        <w:rPr>
          <w:rFonts w:ascii="Calibri" w:hAnsi="Calibri" w:eastAsia="PingFang SC"/>
          <w:sz w:val="16"/>
        </w:rPr>
        <w:t xml:space="preserve">[34] Hu et al. </w:t>
      </w:r>
      <w:r>
        <w:rPr>
          <w:rFonts w:ascii="Calibri" w:hAnsi="Calibri" w:eastAsia="PingFang SC"/>
          <w:i/>
          <w:sz w:val="16"/>
        </w:rPr>
        <w:t>CloneMem</w:t>
      </w:r>
      <w:r>
        <w:rPr>
          <w:rFonts w:ascii="Calibri" w:hAnsi="Calibri" w:eastAsia="PingFang SC"/>
          <w:sz w:val="16"/>
        </w:rPr>
        <w:t xml:space="preserve">. ACL, 2026. </w:t>
      </w:r>
      <w:hyperlink r:id="rId32">
        <w:r>
          <w:rPr>
            <w:rFonts w:ascii="Calibri" w:hAnsi="Calibri" w:eastAsia="PingFang SC"/>
            <w:color w:val="2E74B5"/>
            <w:u w:val="single"/>
            <w:sz w:val="16"/>
            <w:szCs w:val="16"/>
          </w:rPr>
          <w:t>https://aclanthology.org/2026.acl-long.1549/</w:t>
        </w:r>
      </w:hyperlink>
    </w:p>
    <w:p>
      <w:pPr>
        <w:spacing w:after="0" w:line="216" w:lineRule="auto"/>
        <w:ind w:left="360" w:hanging="360"/>
      </w:pPr>
      <w:r>
        <w:rPr>
          <w:rFonts w:ascii="Calibri" w:hAnsi="Calibri" w:eastAsia="PingFang SC"/>
          <w:sz w:val="16"/>
        </w:rPr>
        <w:t xml:space="preserve">[35] Shen et al. </w:t>
      </w:r>
      <w:r>
        <w:rPr>
          <w:rFonts w:ascii="Calibri" w:hAnsi="Calibri" w:eastAsia="PingFang SC"/>
          <w:i/>
          <w:sz w:val="16"/>
        </w:rPr>
        <w:t>Mem2ActBench</w:t>
      </w:r>
      <w:r>
        <w:rPr>
          <w:rFonts w:ascii="Calibri" w:hAnsi="Calibri" w:eastAsia="PingFang SC"/>
          <w:sz w:val="16"/>
        </w:rPr>
        <w:t xml:space="preserve">. ACL, 2026. </w:t>
      </w:r>
      <w:hyperlink r:id="rId25">
        <w:r>
          <w:rPr>
            <w:rFonts w:ascii="Calibri" w:hAnsi="Calibri" w:eastAsia="PingFang SC"/>
            <w:color w:val="2E74B5"/>
            <w:u w:val="single"/>
            <w:sz w:val="16"/>
            <w:szCs w:val="16"/>
          </w:rPr>
          <w:t>https://aclanthology.org/2026.acl-long.370/</w:t>
        </w:r>
      </w:hyperlink>
    </w:p>
    <w:p>
      <w:pPr>
        <w:spacing w:after="0" w:line="216" w:lineRule="auto"/>
        <w:ind w:left="360" w:hanging="360"/>
      </w:pPr>
      <w:r>
        <w:rPr>
          <w:rFonts w:ascii="Calibri" w:hAnsi="Calibri" w:eastAsia="PingFang SC"/>
          <w:sz w:val="16"/>
        </w:rPr>
        <w:t xml:space="preserve">[36] Chen et al. </w:t>
      </w:r>
      <w:r>
        <w:rPr>
          <w:rFonts w:ascii="Calibri" w:hAnsi="Calibri" w:eastAsia="PingFang SC"/>
          <w:i/>
          <w:sz w:val="16"/>
        </w:rPr>
        <w:t>Towards Preference Following in Tool Calling Language Agents</w:t>
      </w:r>
      <w:r>
        <w:rPr>
          <w:rFonts w:ascii="Calibri" w:hAnsi="Calibri" w:eastAsia="PingFang SC"/>
          <w:sz w:val="16"/>
        </w:rPr>
        <w:t xml:space="preserve">. Findings of ACL, 2026. </w:t>
      </w:r>
      <w:hyperlink r:id="rId26">
        <w:r>
          <w:rPr>
            <w:rFonts w:ascii="Calibri" w:hAnsi="Calibri" w:eastAsia="PingFang SC"/>
            <w:color w:val="2E74B5"/>
            <w:u w:val="single"/>
            <w:sz w:val="16"/>
            <w:szCs w:val="16"/>
          </w:rPr>
          <w:t>https://aclanthology.org/2026.findings-acl.1676/</w:t>
        </w:r>
      </w:hyperlink>
    </w:p>
    <w:p>
      <w:pPr>
        <w:spacing w:after="0" w:line="216" w:lineRule="auto"/>
        <w:ind w:left="360" w:hanging="360"/>
      </w:pPr>
      <w:r>
        <w:rPr>
          <w:rFonts w:ascii="Calibri" w:hAnsi="Calibri" w:eastAsia="PingFang SC"/>
          <w:sz w:val="16"/>
        </w:rPr>
        <w:t xml:space="preserve">[37] Lyu et al. </w:t>
      </w:r>
      <w:r>
        <w:rPr>
          <w:rFonts w:ascii="Calibri" w:hAnsi="Calibri" w:eastAsia="PingFang SC"/>
          <w:i/>
          <w:sz w:val="16"/>
        </w:rPr>
        <w:t>PersonalAlign</w:t>
      </w:r>
      <w:r>
        <w:rPr>
          <w:rFonts w:ascii="Calibri" w:hAnsi="Calibri" w:eastAsia="PingFang SC"/>
          <w:sz w:val="16"/>
        </w:rPr>
        <w:t xml:space="preserve">. ACL, 2026. </w:t>
      </w:r>
      <w:hyperlink r:id="rId45">
        <w:r>
          <w:rPr>
            <w:rFonts w:ascii="Calibri" w:hAnsi="Calibri" w:eastAsia="PingFang SC"/>
            <w:color w:val="2E74B5"/>
            <w:u w:val="single"/>
            <w:sz w:val="16"/>
            <w:szCs w:val="16"/>
          </w:rPr>
          <w:t>https://aclanthology.org/2026.acl-long.1669/</w:t>
        </w:r>
      </w:hyperlink>
    </w:p>
    <w:p>
      <w:pPr>
        <w:spacing w:after="0" w:line="216" w:lineRule="auto"/>
        <w:ind w:left="360" w:hanging="360"/>
      </w:pPr>
      <w:r>
        <w:rPr>
          <w:rFonts w:ascii="Calibri" w:hAnsi="Calibri" w:eastAsia="PingFang SC"/>
          <w:sz w:val="16"/>
        </w:rPr>
        <w:t xml:space="preserve">[38] Wang et al. </w:t>
      </w:r>
      <w:r>
        <w:rPr>
          <w:rFonts w:ascii="Calibri" w:hAnsi="Calibri" w:eastAsia="PingFang SC"/>
          <w:i/>
          <w:sz w:val="16"/>
        </w:rPr>
        <w:t>OPeRA</w:t>
      </w:r>
      <w:r>
        <w:rPr>
          <w:rFonts w:ascii="Calibri" w:hAnsi="Calibri" w:eastAsia="PingFang SC"/>
          <w:sz w:val="16"/>
        </w:rPr>
        <w:t xml:space="preserve">. ACL, 2026. </w:t>
      </w:r>
      <w:hyperlink r:id="rId46">
        <w:r>
          <w:rPr>
            <w:rFonts w:ascii="Calibri" w:hAnsi="Calibri" w:eastAsia="PingFang SC"/>
            <w:color w:val="2E74B5"/>
            <w:u w:val="single"/>
            <w:sz w:val="16"/>
            <w:szCs w:val="16"/>
          </w:rPr>
          <w:t>https://aclanthology.org/2026.acl-long.2033/</w:t>
        </w:r>
      </w:hyperlink>
    </w:p>
    <w:p>
      <w:pPr>
        <w:spacing w:after="0" w:line="216" w:lineRule="auto"/>
        <w:ind w:left="360" w:hanging="360"/>
      </w:pPr>
      <w:r>
        <w:rPr>
          <w:rFonts w:ascii="Calibri" w:hAnsi="Calibri" w:eastAsia="PingFang SC"/>
          <w:sz w:val="16"/>
        </w:rPr>
        <w:t xml:space="preserve">[39] Guo et al. </w:t>
      </w:r>
      <w:r>
        <w:rPr>
          <w:rFonts w:ascii="Calibri" w:hAnsi="Calibri" w:eastAsia="PingFang SC"/>
          <w:i/>
          <w:sz w:val="16"/>
        </w:rPr>
        <w:t>When Personalization Legitimizes Risks</w:t>
      </w:r>
      <w:r>
        <w:rPr>
          <w:rFonts w:ascii="Calibri" w:hAnsi="Calibri" w:eastAsia="PingFang SC"/>
          <w:sz w:val="16"/>
        </w:rPr>
        <w:t xml:space="preserve">. ACL, 2026. </w:t>
      </w:r>
      <w:hyperlink r:id="rId34">
        <w:r>
          <w:rPr>
            <w:rFonts w:ascii="Calibri" w:hAnsi="Calibri" w:eastAsia="PingFang SC"/>
            <w:color w:val="2E74B5"/>
            <w:u w:val="single"/>
            <w:sz w:val="16"/>
            <w:szCs w:val="16"/>
          </w:rPr>
          <w:t>https://aclanthology.org/2026.acl-long.1260/</w:t>
        </w:r>
      </w:hyperlink>
    </w:p>
    <w:p>
      <w:pPr>
        <w:spacing w:after="0" w:line="216" w:lineRule="auto"/>
        <w:ind w:left="360" w:hanging="360"/>
      </w:pPr>
      <w:r>
        <w:rPr>
          <w:rFonts w:ascii="Calibri" w:hAnsi="Calibri" w:eastAsia="PingFang SC"/>
          <w:sz w:val="16"/>
        </w:rPr>
        <w:t xml:space="preserve">[40] Weeber et al. </w:t>
      </w:r>
      <w:r>
        <w:rPr>
          <w:rFonts w:ascii="Calibri" w:hAnsi="Calibri" w:eastAsia="PingFang SC"/>
          <w:i/>
          <w:sz w:val="16"/>
        </w:rPr>
        <w:t>One Persona, Many Cues, Different Results</w:t>
      </w:r>
      <w:r>
        <w:rPr>
          <w:rFonts w:ascii="Calibri" w:hAnsi="Calibri" w:eastAsia="PingFang SC"/>
          <w:sz w:val="16"/>
        </w:rPr>
        <w:t xml:space="preserve">. ACL, 2026. </w:t>
      </w:r>
      <w:hyperlink r:id="rId38">
        <w:r>
          <w:rPr>
            <w:rFonts w:ascii="Calibri" w:hAnsi="Calibri" w:eastAsia="PingFang SC"/>
            <w:color w:val="2E74B5"/>
            <w:u w:val="single"/>
            <w:sz w:val="16"/>
            <w:szCs w:val="16"/>
          </w:rPr>
          <w:t>https://aclanthology.org/2026.acl-long.2079/</w:t>
        </w:r>
      </w:hyperlink>
    </w:p>
    <w:p>
      <w:pPr>
        <w:spacing w:after="0" w:line="216" w:lineRule="auto"/>
        <w:ind w:left="360" w:hanging="360"/>
      </w:pPr>
      <w:r>
        <w:rPr>
          <w:rFonts w:ascii="Calibri" w:hAnsi="Calibri" w:eastAsia="PingFang SC"/>
          <w:sz w:val="16"/>
        </w:rPr>
        <w:t xml:space="preserve">[41] Qiu et al. </w:t>
      </w:r>
      <w:r>
        <w:rPr>
          <w:rFonts w:ascii="Calibri" w:hAnsi="Calibri" w:eastAsia="PingFang SC"/>
          <w:i/>
          <w:sz w:val="16"/>
        </w:rPr>
        <w:t>Preference-Aware Rubric Learning for Personalized Evaluation</w:t>
      </w:r>
      <w:r>
        <w:rPr>
          <w:rFonts w:ascii="Calibri" w:hAnsi="Calibri" w:eastAsia="PingFang SC"/>
          <w:sz w:val="16"/>
        </w:rPr>
        <w:t xml:space="preserve">. arXiv:2605.31545, 2026. </w:t>
      </w:r>
      <w:hyperlink r:id="rId39">
        <w:r>
          <w:rPr>
            <w:rFonts w:ascii="Calibri" w:hAnsi="Calibri" w:eastAsia="PingFang SC"/>
            <w:color w:val="2E74B5"/>
            <w:u w:val="single"/>
            <w:sz w:val="16"/>
            <w:szCs w:val="16"/>
          </w:rPr>
          <w:t>https://arxiv.org/abs/2605.31545</w:t>
        </w:r>
      </w:hyperlink>
    </w:p>
    <w:p>
      <w:pPr>
        <w:spacing w:after="0" w:line="216" w:lineRule="auto"/>
        <w:ind w:left="360" w:hanging="360"/>
      </w:pPr>
      <w:r>
        <w:rPr>
          <w:rFonts w:ascii="Calibri" w:hAnsi="Calibri" w:eastAsia="PingFang SC"/>
          <w:sz w:val="16"/>
        </w:rPr>
        <w:t xml:space="preserve">[42] ICLR. </w:t>
      </w:r>
      <w:r>
        <w:rPr>
          <w:rFonts w:ascii="Calibri" w:hAnsi="Calibri" w:eastAsia="PingFang SC"/>
          <w:i/>
          <w:sz w:val="16"/>
        </w:rPr>
        <w:t>ICLR 2024 Fact Sheet</w:t>
      </w:r>
      <w:r>
        <w:rPr>
          <w:rFonts w:ascii="Calibri" w:hAnsi="Calibri" w:eastAsia="PingFang SC"/>
          <w:sz w:val="16"/>
        </w:rPr>
        <w:t xml:space="preserve">. </w:t>
      </w:r>
      <w:hyperlink r:id="rId40">
        <w:r>
          <w:rPr>
            <w:rFonts w:ascii="Calibri" w:hAnsi="Calibri" w:eastAsia="PingFang SC"/>
            <w:color w:val="2E74B5"/>
            <w:u w:val="single"/>
            <w:sz w:val="16"/>
            <w:szCs w:val="16"/>
          </w:rPr>
          <w:t>https://media.iclr.cc/Conferences/ICLR2024/ICLR2024-Fact_Sheet.pdf</w:t>
        </w:r>
      </w:hyperlink>
    </w:p>
    <w:p>
      <w:pPr>
        <w:spacing w:after="0" w:line="216" w:lineRule="auto"/>
        <w:ind w:left="360" w:hanging="360"/>
      </w:pPr>
      <w:r>
        <w:rPr>
          <w:rFonts w:ascii="Calibri" w:hAnsi="Calibri" w:eastAsia="PingFang SC"/>
          <w:sz w:val="16"/>
        </w:rPr>
        <w:t xml:space="preserve">[43] ICLR. </w:t>
      </w:r>
      <w:r>
        <w:rPr>
          <w:rFonts w:ascii="Calibri" w:hAnsi="Calibri" w:eastAsia="PingFang SC"/>
          <w:i/>
          <w:sz w:val="16"/>
        </w:rPr>
        <w:t>ICLR 2026 Fact Sheet</w:t>
      </w:r>
      <w:r>
        <w:rPr>
          <w:rFonts w:ascii="Calibri" w:hAnsi="Calibri" w:eastAsia="PingFang SC"/>
          <w:sz w:val="16"/>
        </w:rPr>
        <w:t xml:space="preserve">. </w:t>
      </w:r>
      <w:hyperlink r:id="rId41">
        <w:r>
          <w:rPr>
            <w:rFonts w:ascii="Calibri" w:hAnsi="Calibri" w:eastAsia="PingFang SC"/>
            <w:color w:val="2E74B5"/>
            <w:u w:val="single"/>
            <w:sz w:val="16"/>
            <w:szCs w:val="16"/>
          </w:rPr>
          <w:t>https://media.iclr.cc/Conferences/ICLR2026/ICLR2026_Fact_Sheet.pdf</w:t>
        </w:r>
      </w:hyperlink>
    </w:p>
    <w:sectPr w:rsidR="00FC693F" w:rsidRPr="0006063C" w:rsidSect="00034616">
      <w:headerReference w:type="default" r:id="rId14"/>
      <w:footerReference w:type="default" r:id="rId15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/>
    <w:r>
      <w:rPr>
        <w:rFonts w:ascii="Calibri" w:hAnsi="Calibri" w:eastAsia="PingFang SC"/>
        <w:color w:val="5B6B7A"/>
        <w:sz w:val="18"/>
      </w:rPr>
      <w:t xml:space="preserve">2026-8-9   ·   </w:t>
    </w:r>
    <w:r>
      <w:rPr>
        <w:rFonts w:ascii="Calibri" w:hAnsi="Calibri" w:eastAsia="PingFang SC"/>
        <w:color w:val="5B6B7A"/>
        <w:sz w:val="18"/>
      </w:rPr>
      <w:fldChar w:fldCharType="begin"/>
      <w:instrText xml:space="preserve">PAGE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/>
    <w:r>
      <w:rPr>
        <w:rFonts w:ascii="Calibri" w:hAnsi="Calibri" w:eastAsia="PingFang SC"/>
        <w:color w:val="5B6B7A"/>
        <w:sz w:val="18"/>
      </w:rPr>
      <w:t xml:space="preserve">2026-8-9   ·   </w:t>
    </w:r>
    <w:r>
      <w:rPr>
        <w:rFonts w:ascii="Calibri" w:hAnsi="Calibri" w:eastAsia="PingFang SC"/>
        <w:color w:val="5B6B7A"/>
        <w:sz w:val="18"/>
      </w:rPr>
      <w:fldChar w:fldCharType="begin"/>
      <w:instrText xml:space="preserve">PAGE</w:instrText>
      <w:fldChar w:fldCharType="separate"/>
      <w:t>1</w: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/>
    <w:r>
      <w:rPr>
        <w:rFonts w:ascii="Calibri" w:hAnsi="Calibri" w:eastAsia="PingFang SC"/>
        <w:color w:val="5B6B7A"/>
        <w:sz w:val="18"/>
      </w:rPr>
      <w:t xml:space="preserve">2026-8-9   ·   </w:t>
    </w:r>
    <w:r>
      <w:rPr>
        <w:rFonts w:ascii="Calibri" w:hAnsi="Calibri" w:eastAsia="PingFang SC"/>
        <w:color w:val="5B6B7A"/>
        <w:sz w:val="18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PingFang SC"/>
        <w:b/>
        <w:color w:val="5B6B7A"/>
        <w:sz w:val="17"/>
      </w:rPr>
      <w:t>DEEPALIGN-BENCH  ·  完整人话版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PingFang SC"/>
        <w:b/>
        <w:color w:val="5B6B7A"/>
        <w:sz w:val="17"/>
      </w:rPr>
      <w:t>DEEPALIGN-BENCH  ·  完整人话版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PingFang SC"/>
        <w:b/>
        <w:color w:val="5B6B7A"/>
        <w:sz w:val="17"/>
      </w:rPr>
      <w:t>DEEPALIGN-BENCH  ·  完整人话版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0"/>
    <w:lvlOverride w:ilvl="0">
      <w:startOverride w:val="1"/>
    </w:lvlOverride>
  </w:num>
  <w:num w:numId="11">
    <w:abstractNumId w:val="0"/>
    <w:lvlOverride w:ilvl="0">
      <w:startOverride w:val="1"/>
    </w:lvlOverride>
  </w:num>
  <w:num w:numId="12">
    <w:abstractNumId w:val="0"/>
    <w:lvlOverride w:ilvl="0">
      <w:startOverride w:val="1"/>
    </w:lvlOverride>
  </w:num>
  <w:num w:numId="13">
    <w:abstractNumId w:val="0"/>
    <w:lvlOverride w:ilvl="0">
      <w:startOverride w:val="1"/>
    </w:lvlOverride>
  </w:num>
  <w:num w:numId="14">
    <w:abstractNumId w:val="0"/>
    <w:lvlOverride w:ilvl="0">
      <w:startOverride w:val="1"/>
    </w:lvlOverride>
  </w:num>
  <w:num w:numId="15">
    <w:abstractNumId w:val="0"/>
    <w:lvlOverride w:ilvl="0">
      <w:startOverride w:val="1"/>
    </w:lvlOverride>
  </w:num>
  <w:num w:numId="16">
    <w:abstractNumId w:val="0"/>
    <w:lvlOverride w:ilvl="0">
      <w:startOverride w:val="1"/>
    </w:lvlOverride>
  </w:num>
  <w:num w:numId="17">
    <w:abstractNumId w:val="0"/>
    <w:lvlOverride w:ilvl="0">
      <w:startOverride w:val="1"/>
    </w:lvlOverride>
  </w:num>
  <w:num w:numId="18">
    <w:abstractNumId w:val="0"/>
    <w:lvlOverride w:ilvl="0">
      <w:startOverride w:val="1"/>
    </w:lvlOverride>
  </w:num>
  <w:num w:numId="19">
    <w:abstractNumId w:val="0"/>
    <w:lvlOverride w:ilvl="0">
      <w:startOverride w:val="1"/>
    </w:lvlOverride>
  </w:num>
  <w:num w:numId="20">
    <w:abstractNumId w:val="0"/>
    <w:lvlOverride w:ilvl="0">
      <w:startOverride w:val="1"/>
    </w:lvlOverride>
  </w:num>
  <w:num w:numId="2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320" w:lineRule="auto"/>
      <w:jc w:val="both"/>
    </w:pPr>
    <w:rPr>
      <w:rFonts w:ascii="Calibri" w:hAnsi="Calibri" w:eastAsia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Hiragino Sans GB"/>
      <w:b w:val="0"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Hiragino Sans GB"/>
      <w:b w:val="0"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Hiragino Sans GB"/>
      <w:b w:val="0"/>
      <w:bCs/>
      <w:color w:val="163A6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90" w:lineRule="auto"/>
      <w:ind w:left="540" w:hanging="279"/>
      <w:contextualSpacing/>
    </w:pPr>
    <w:rPr>
      <w:rFonts w:ascii="Calibri" w:hAnsi="Calibri" w:eastAsia="PingFang SC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90" w:lineRule="auto"/>
      <w:ind w:left="540" w:hanging="279"/>
      <w:contextualSpacing/>
    </w:pPr>
    <w:rPr>
      <w:rFonts w:ascii="Calibri" w:hAnsi="Calibri" w:eastAsia="PingFang SC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Relationship Id="rId14" Type="http://schemas.openxmlformats.org/officeDocument/2006/relationships/header" Target="header3.xml"/><Relationship Id="rId15" Type="http://schemas.openxmlformats.org/officeDocument/2006/relationships/footer" Target="footer3.xml"/><Relationship Id="rId16" Type="http://schemas.openxmlformats.org/officeDocument/2006/relationships/hyperlink" Target="https://aclanthology.org/2024.acl-long.399/" TargetMode="External"/><Relationship Id="rId17" Type="http://schemas.openxmlformats.org/officeDocument/2006/relationships/hyperlink" Target="https://aclanthology.org/2025.findings-acl.927/" TargetMode="External"/><Relationship Id="rId18" Type="http://schemas.openxmlformats.org/officeDocument/2006/relationships/hyperlink" Target="https://arxiv.org/abs/2504.14225" TargetMode="External"/><Relationship Id="rId19" Type="http://schemas.openxmlformats.org/officeDocument/2006/relationships/hyperlink" Target="https://arxiv.org/abs/2607.27056" TargetMode="External"/><Relationship Id="rId20" Type="http://schemas.openxmlformats.org/officeDocument/2006/relationships/hyperlink" Target="https://arxiv.org/abs/2607.20482" TargetMode="External"/><Relationship Id="rId21" Type="http://schemas.openxmlformats.org/officeDocument/2006/relationships/hyperlink" Target="https://arxiv.org/abs/2607.03162" TargetMode="External"/><Relationship Id="rId22" Type="http://schemas.openxmlformats.org/officeDocument/2006/relationships/hyperlink" Target="https://aclanthology.org/2024.emnlp-industry.37/" TargetMode="External"/><Relationship Id="rId23" Type="http://schemas.openxmlformats.org/officeDocument/2006/relationships/hyperlink" Target="https://aclanthology.org/2025.acl-long.1064/" TargetMode="External"/><Relationship Id="rId24" Type="http://schemas.openxmlformats.org/officeDocument/2006/relationships/hyperlink" Target="https://arxiv.org/abs/2505.13176" TargetMode="External"/><Relationship Id="rId25" Type="http://schemas.openxmlformats.org/officeDocument/2006/relationships/hyperlink" Target="https://aclanthology.org/2026.acl-long.370/" TargetMode="External"/><Relationship Id="rId26" Type="http://schemas.openxmlformats.org/officeDocument/2006/relationships/hyperlink" Target="https://aclanthology.org/2026.findings-acl.1676/" TargetMode="External"/><Relationship Id="rId27" Type="http://schemas.openxmlformats.org/officeDocument/2006/relationships/hyperlink" Target="https://arxiv.org/abs/2607.15948" TargetMode="External"/><Relationship Id="rId28" Type="http://schemas.openxmlformats.org/officeDocument/2006/relationships/hyperlink" Target="https://arxiv.org/abs/2601.16621" TargetMode="External"/><Relationship Id="rId29" Type="http://schemas.openxmlformats.org/officeDocument/2006/relationships/hyperlink" Target="https://arxiv.org/abs/2602.16173" TargetMode="External"/><Relationship Id="rId30" Type="http://schemas.openxmlformats.org/officeDocument/2006/relationships/hyperlink" Target="https://arxiv.org/abs/2605.25535" TargetMode="External"/><Relationship Id="rId31" Type="http://schemas.openxmlformats.org/officeDocument/2006/relationships/hyperlink" Target="https://aclanthology.org/2026.findings-acl.1337/" TargetMode="External"/><Relationship Id="rId32" Type="http://schemas.openxmlformats.org/officeDocument/2006/relationships/hyperlink" Target="https://aclanthology.org/2026.acl-long.1549/" TargetMode="External"/><Relationship Id="rId33" Type="http://schemas.openxmlformats.org/officeDocument/2006/relationships/hyperlink" Target="https://arxiv.org/abs/2607.10526" TargetMode="External"/><Relationship Id="rId34" Type="http://schemas.openxmlformats.org/officeDocument/2006/relationships/hyperlink" Target="https://aclanthology.org/2026.acl-long.1260/" TargetMode="External"/><Relationship Id="rId35" Type="http://schemas.openxmlformats.org/officeDocument/2006/relationships/hyperlink" Target="https://arxiv.org/abs/2509.25106" TargetMode="External"/><Relationship Id="rId36" Type="http://schemas.openxmlformats.org/officeDocument/2006/relationships/hyperlink" Target="https://arxiv.org/abs/2605.10530" TargetMode="External"/><Relationship Id="rId37" Type="http://schemas.openxmlformats.org/officeDocument/2006/relationships/hyperlink" Target="https://aclanthology.org/2026.acl-long.723/" TargetMode="External"/><Relationship Id="rId38" Type="http://schemas.openxmlformats.org/officeDocument/2006/relationships/hyperlink" Target="https://aclanthology.org/2026.acl-long.2079/" TargetMode="External"/><Relationship Id="rId39" Type="http://schemas.openxmlformats.org/officeDocument/2006/relationships/hyperlink" Target="https://arxiv.org/abs/2605.31545" TargetMode="External"/><Relationship Id="rId40" Type="http://schemas.openxmlformats.org/officeDocument/2006/relationships/hyperlink" Target="https://media.iclr.cc/Conferences/ICLR2024/ICLR2024-Fact_Sheet.pdf" TargetMode="External"/><Relationship Id="rId41" Type="http://schemas.openxmlformats.org/officeDocument/2006/relationships/hyperlink" Target="https://media.iclr.cc/Conferences/ICLR2026/ICLR2026_Fact_Sheet.pdf" TargetMode="External"/><Relationship Id="rId42" Type="http://schemas.openxmlformats.org/officeDocument/2006/relationships/hyperlink" Target="https://evalscope.readthedocs.io/en/refact_readme/get_started/introduction.html" TargetMode="External"/><Relationship Id="rId43" Type="http://schemas.openxmlformats.org/officeDocument/2006/relationships/hyperlink" Target="https://aclanthology.org/2025.emnlp-main.1711/" TargetMode="External"/><Relationship Id="rId44" Type="http://schemas.openxmlformats.org/officeDocument/2006/relationships/hyperlink" Target="https://aclanthology.org/2026.findings-acl.31/" TargetMode="External"/><Relationship Id="rId45" Type="http://schemas.openxmlformats.org/officeDocument/2006/relationships/hyperlink" Target="https://aclanthology.org/2026.acl-long.1669/" TargetMode="External"/><Relationship Id="rId46" Type="http://schemas.openxmlformats.org/officeDocument/2006/relationships/hyperlink" Target="https://aclanthology.org/2026.acl-long.2033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