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v0.19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同一任务和证据下，只改变用户；匹配用户的结果必须优于错配结果，而且事实和共同质量不能变差。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这种差异是不是来自用户信息，而不是报告更长、格式更漂亮或说了更多好听的话？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输出做人评。领域专家负责事实和共同质量，目标用户负责判断 matched/swapped 哪份更适合自己；合成 persona 不能代替这一步。这个规模用于验证方法，不声称覆盖所有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完全一致。主榜评最终交付物；轻量轨迹和受控重跑只用于解释保持、偏离与恢复。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研究问题是怎样一步步收敛的</w:t>
      </w:r>
    </w:p>
    <w:p>
      <w:r>
        <w:rPr>
          <w:rFonts w:ascii="Calibri" w:hAnsi="Calibri" w:eastAsia="PingFang SC"/>
        </w:rPr>
        <w:t>第一步，Deep Research benchmark 先回答“报告一般好不好”：任务有没有完成、事实和引用是否可靠、分析是否完整。这是所有个性化结果都必须先过的底线，但它没有说明同一份报告更适合哪一个用户。</w:t>
      </w:r>
    </w:p>
    <w:p>
      <w:r>
        <w:rPr>
          <w:rFonts w:ascii="Calibri" w:hAnsi="Calibri" w:eastAsia="PingFang SC"/>
        </w:rPr>
        <w:t>第二步，个性化研究开始回答“agent 是否理解了用户”。LaMP 用用户历史评测个性化生成，PersonaLens 在任务型对话里同时看偏好、任务成功和回复质量，PersonaMem 要求模型跟踪会变化的用户画像。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r>
        <w:rPr>
          <w:rFonts w:ascii="Calibri" w:hAnsi="Calibri" w:eastAsia="PingFang SC"/>
        </w:rPr>
        <w:t xml:space="preserve"> Setoka、PersonaTrail 和 APeB 又把信号扩展到异构记录、浏览轨迹和商品行为。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所以“用户理解和历史利用没人测”已经说不通；这些工作大多停在响应选择、记忆问答或单域意图。</w:t>
      </w:r>
    </w:p>
    <w:p>
      <w:r>
        <w:rPr>
          <w:rFonts w:ascii="Calibri" w:hAnsi="Calibri" w:eastAsia="PingFang SC"/>
        </w:rPr>
        <w:t>第三步，研究已经开始回答“理解之后有没有真的行动”。TravelPlanner+ 让用户模型改变旅行计划，ETAPP 和 ToolSpectrum 让画像与环境改变工具选择，Mem2ActBench 与 APOLLO 检查长期偏好能否落实到工具和参数。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[35]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[36]</w:t>
        </w:r>
      </w:hyperlink>
      <w:r>
        <w:rPr>
          <w:rFonts w:ascii="Calibri" w:hAnsi="Calibri" w:eastAsia="PingFang SC"/>
        </w:rPr>
        <w:t xml:space="preserve"> TARS 还直接测了用户时间和认知负担。</w:t>
      </w:r>
      <w:hyperlink r:id="rId27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因此，“个性化行动无人评测”同样不是我们的 gap；这些任务多是单域计划或离散工具/GUI 动作，和开放式、多证据的 DR 最终交付物仍不同。</w:t>
      </w:r>
    </w:p>
    <w:p>
      <w:r>
        <w:rPr>
          <w:rFonts w:ascii="Calibri" w:hAnsi="Calibri" w:eastAsia="PingFang SC"/>
        </w:rPr>
        <w:t>第四步，研究把时间和风险也纳入进来。RPEval 测无关记忆会不会导致不理性个性化，PAHF 用澄清、记忆和反馈适应偏好变化，PerMemBench 问“哪些信息值得为这个用户写入”，Memora 与 CloneMem 测过期事实和多年数字轨迹。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  <w:hyperlink r:id="rId32">
        <w:r>
          <w:rPr>
            <w:rFonts w:ascii="Calibri" w:hAnsi="Calibri" w:eastAsia="PingFang SC"/>
            <w:color w:val="2E74B5"/>
            <w:u w:val="single"/>
          </w:rPr>
          <w:t>[34]</w:t>
        </w:r>
      </w:hyperlink>
      <w:r>
        <w:rPr>
          <w:rFonts w:ascii="Calibri" w:hAnsi="Calibri" w:eastAsia="PingFang SC"/>
        </w:rPr>
        <w:t xml:space="preserve"> PASB 和 PS-Bench 又说明，持久记忆不仅可能过期，还可能把迎合或危险意图长期合理化。</w:t>
      </w:r>
      <w:hyperlink r:id="rId3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34">
        <w:r>
          <w:rPr>
            <w:rFonts w:ascii="Calibri" w:hAnsi="Calibri" w:eastAsia="PingFang SC"/>
            <w:color w:val="2E74B5"/>
            <w:u w:val="single"/>
          </w:rPr>
          <w:t>[39]</w:t>
        </w:r>
      </w:hyperlink>
      <w:r>
        <w:rPr>
          <w:rFonts w:ascii="Calibri" w:hAnsi="Calibri" w:eastAsia="PingFang SC"/>
        </w:rPr>
        <w:t xml:space="preserve"> 这要求我们的 irrelevant、stale、write、update 和 must-not 测试成为正式实验，而不是几个演示案例。</w:t>
      </w:r>
    </w:p>
    <w:p>
      <w:r>
        <w:rPr>
          <w:rFonts w:ascii="Calibri" w:hAnsi="Calibri" w:eastAsia="PingFang SC"/>
        </w:rPr>
        <w:t>最后，PDR-Bench 与另一项 PDR 工作已经直接研究 persona 驱动的 Deep Research；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36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MyScholarQA 甚至发现，合成用户和 LLM judge 会漏掉真人指出的九类细微个性化错误。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这使我们的题目最终收敛到：</w:t>
      </w:r>
      <w:r>
        <w:rPr>
          <w:rFonts w:ascii="Calibri" w:hAnsi="Calibri" w:eastAsia="PingFang SC"/>
          <w:b/>
        </w:rPr>
        <w:t>固定任务、证据、工具和预算，只交换两个都合理的用户，哪份最终交付物仍然更适合谁？</w:t>
      </w:r>
      <w:r>
        <w:rPr>
          <w:rFonts w:ascii="Calibri" w:hAnsi="Calibri" w:eastAsia="PingFang SC"/>
        </w:rPr>
        <w:t xml:space="preserve"> 这比“把用户信息给 agent 后有没有涨分”更窄，但也更容易被证伪。</w:t>
      </w:r>
    </w:p>
    <w:p>
      <w:r>
        <w:rPr>
          <w:rFonts w:ascii="Calibri" w:hAnsi="Calibri" w:eastAsia="PingFang SC"/>
        </w:rPr>
        <w:t>如果给 agent 一份 persona 后得分更高，仍然可能有三种替代解释：</w:t>
      </w:r>
    </w:p>
    <w:p>
      <w:pPr>
        <w:pStyle w:val="ListBullet"/>
      </w:pPr>
      <w:r>
        <w:rPr>
          <w:rFonts w:ascii="Calibri" w:hAnsi="Calibri" w:eastAsia="PingFang SC"/>
        </w:rPr>
        <w:t>persona 让 prompt 更长，模型因此写得更多；</w:t>
      </w:r>
    </w:p>
    <w:p>
      <w:pPr>
        <w:pStyle w:val="ListBullet"/>
      </w:pPr>
      <w:r>
        <w:rPr>
          <w:rFonts w:ascii="Calibri" w:hAnsi="Calibri" w:eastAsia="PingFang SC"/>
        </w:rPr>
        <w:t>judge 喜欢报告复述用户背景；</w:t>
      </w:r>
    </w:p>
    <w:p>
      <w:pPr>
        <w:pStyle w:val="ListBullet"/>
      </w:pPr>
      <w:r>
        <w:rPr>
          <w:rFonts w:ascii="Calibri" w:hAnsi="Calibri" w:eastAsia="PingFang SC"/>
        </w:rPr>
        <w:t>persona 给了额外任务信息，而不是个性化信息。</w:t>
      </w:r>
    </w:p>
    <w:p>
      <w:r>
        <w:rPr>
          <w:rFonts w:ascii="Calibri" w:hAnsi="Calibri" w:eastAsia="PingFang SC"/>
        </w:rPr>
        <w:t>因此，单纯比较 task-only、context 和 persona 三组平均分，不能证明 agent 真正在利用用户模型。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用反事实任务族识别真正的用户适配；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用压力测试区分获取、保持、利用、更新和恢复问题。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personalization、history、tool use、persistent state 或 temporal intervention。我们的候选贡献是把这些已有方向连接到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最终交付物的反事实测量</w:t>
      </w:r>
      <w:r>
        <w:rPr>
          <w:rFonts w:ascii="Calibri" w:hAnsi="Calibri" w:eastAsia="PingFang SC"/>
        </w:rPr>
        <w:t>。如果 matched/swapped 人评不稳定，或者差异可以被长度、风格和共同质量解释，这个贡献就没有成立。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Update/Recover</w:t>
      </w:r>
      <w:r>
        <w:rPr>
          <w:rFonts w:ascii="Calibri" w:hAnsi="Calibri" w:eastAsia="PingFang SC"/>
        </w:rPr>
        <w:t>：用户纠正信息或改变目标后，agent 能不能更新并修复已经偏离的结果？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r>
        <w:rPr>
          <w:rFonts w:ascii="Calibri" w:hAnsi="Calibri" w:eastAsia="PingFang SC"/>
        </w:rPr>
        <w:t>人评也不能混成一个角色。领域专家或训练过的标注者检查事实、证据、共同质量和 must-hold；目标用户本人确认 must-change / must-not，并在不知道报告来自哪个条件时比较 matched 与 swapped。所有 real-user-gold family 和至少 8 个分层 family 都要有这种目标用户盲评；合成 persona 只用于可控压力测试和 judge 对抗题。MyScholarQA 已经说明，合成用户与 LLM judge 会漏掉真人真正介意的个性化错误。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是：一个商业 Deep Research 产品、一个在统一搜索和工具条件下运行的通用 agent、一个可复现的开源 Deep Research agent。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Frozen Core</w:t>
      </w:r>
      <w:r>
        <w:rPr>
          <w:rFonts w:ascii="Calibri" w:hAnsi="Calibri" w:eastAsia="PingFang SC"/>
        </w:rPr>
        <w:t>：证据和工具固定，用于主要科学结论；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</w:t>
      </w:r>
      <w:r>
        <w:rPr>
          <w:rFonts w:ascii="Calibri" w:hAnsi="Calibri" w:eastAsia="PingFang SC"/>
        </w:rPr>
        <w:t>：记录日期、搜索服务和网页快照，只用于生态观察；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</w:t>
      </w:r>
      <w:r>
        <w:rPr>
          <w:rFonts w:ascii="Calibri" w:hAnsi="Calibri" w:eastAsia="PingFang SC"/>
        </w:rPr>
        <w:t>：用户状态中途变化，用于保持、更新和恢复测试。</w:t>
      </w:r>
    </w:p>
    <w:p>
      <w:r>
        <w:rPr>
          <w:rFonts w:ascii="Calibri" w:hAnsi="Calibri" w:eastAsia="PingFang SC"/>
        </w:rPr>
        <w:t>三条轨道不能混成一个总榜。商业产品版本和 live web 条件变化太快，必须单独报告。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用户中途更新目标；</w:t>
      </w:r>
    </w:p>
    <w:p>
      <w:pPr>
        <w:pStyle w:val="ListBullet"/>
      </w:pPr>
      <w:r>
        <w:rPr>
          <w:rFonts w:ascii="Calibri" w:hAnsi="Calibri" w:eastAsia="PingFang SC"/>
        </w:rPr>
        <w:t>在交付前重新提醒约束，观察能否恢复。</w:t>
      </w:r>
    </w:p>
    <w:p>
      <w:r>
        <w:rPr>
          <w:rFonts w:ascii="Calibri" w:hAnsi="Calibri" w:eastAsia="PingFang SC"/>
        </w:rPr>
        <w:t>前三个共同对照（clean、persona swap、无关信息）在所有 anchor 上运行；冲突、稀释、handoff 和动态更新只放到确实适合的 family。Re-anchor 不是 attack，而是恢复干预；预先确定哪些样本重跑，不能看见失败后再挑样本。这样才能把“这个任务本来难”与“用户信息被错配、稀释、丢失或没有更新”分开。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是哪一个、哪些结果应该变化/保持，以及恢复策略。对应指标分别是 ΔPF、无关信息 invariance、冲突解析率、PF retention/AUC、handoff loss、update correctness 和 recovery gain；同时检查事实、共同质量、长度和隐私是否受损。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子集做受控重跑，用 memory、handoff、re-anchor 等干预定位保持和恢复问题；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评测，论文必须把“形成、漂移、恢复”的机制性结论降级，不能用最终输出反推内部原因。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每个 case 的 rubric 由六类模块组成：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>所有 rubric 叶节点使用同一数据格式，但只有适用的模块才会被激活。例如代码任务需要可运行测试，决策备忘录需要比较标准和风险边界，学术综述需要覆盖与证据链。</w:t>
      </w:r>
    </w:p>
    <w:p>
      <w:pPr>
        <w:pStyle w:val="Heading2"/>
      </w:pPr>
      <w:r>
        <w:t>7.2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7.3 三棵 rubric tree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7.4 Rubric 进入主实验前必须过四关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才说明“对的人更喜欢对的版本”，而不是所有 persona 条件下报告都变长了。</w:t>
      </w:r>
    </w:p>
    <w:p>
      <w:pPr>
        <w:pStyle w:val="Heading2"/>
      </w:pPr>
      <w:r>
        <w:t>8.3 长程能力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Recovery：重新提醒或纠正后，表现恢复了多少；</w:t>
      </w:r>
    </w:p>
    <w:p>
      <w:pPr>
        <w:pStyle w:val="ListBullet"/>
      </w:pPr>
      <w:r>
        <w:rPr>
          <w:rFonts w:ascii="Calibri" w:hAnsi="Calibri" w:eastAsia="PingFang SC"/>
        </w:rPr>
        <w:t>Side effect：修复个性化问题时是否损害事实、任务质量或隐私。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和关键隐私门槛，再报告 PF−MP、CFA、Retention、Recovery、隐私违规率、成本和时间。不同 evidence track、工具预算和 agent 类型不应混排。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收到纠正后仍不能恢复。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回答不能是“我们任务更多”。必须证明 Atlas、反事实识别、rubric compiler、JudgeBench 和长程压力测试各自提供了新的、可验证的方法贡献。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能不能证明形成、保持和恢复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反事实任务族能区分真正用户适配和表面 persona 复述；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若完成诊断子集，可以报告保持、更新和恢复的受控证据。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arXiv:2605.19276,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ModelScope. </w:t>
      </w:r>
      <w:r>
        <w:rPr>
          <w:rFonts w:ascii="Calibri" w:hAnsi="Calibri" w:eastAsia="PingFang SC"/>
          <w:i/>
          <w:sz w:val="19"/>
        </w:rPr>
        <w:t>EvalScope Introduction</w:t>
      </w:r>
      <w:r>
        <w:rPr>
          <w:rFonts w:ascii="Calibri" w:hAnsi="Calibri" w:eastAsia="PingFang SC"/>
          <w:sz w:val="19"/>
        </w:rPr>
        <w:t xml:space="preserve">. </w:t>
      </w:r>
      <w:hyperlink r:id="rId38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https://evalscope.readthedocs.io/en/refact_readme/get_started/introduction.html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Sokol et al. </w:t>
      </w:r>
      <w:r>
        <w:rPr>
          <w:rFonts w:ascii="Calibri" w:hAnsi="Calibri" w:eastAsia="PingFang SC"/>
          <w:i/>
          <w:sz w:val="19"/>
        </w:rPr>
        <w:t>BenchmarkCards: Standardized Documentation for Large Language Model Benchmarks</w:t>
      </w:r>
      <w:r>
        <w:rPr>
          <w:rFonts w:ascii="Calibri" w:hAnsi="Calibri" w:eastAsia="PingFang SC"/>
          <w:sz w:val="19"/>
        </w:rPr>
        <w:t>. NeurIPS Datasets and Benchmarks,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[13] Zeng et al. </w:t>
      </w:r>
      <w:r>
        <w:rPr>
          <w:rFonts w:ascii="Calibri" w:hAnsi="Calibri" w:eastAsia="PingFang SC"/>
          <w:i/>
          <w:sz w:val="19"/>
        </w:rPr>
        <w:t>Setoka</w:t>
      </w:r>
      <w:r>
        <w:rPr>
          <w:rFonts w:ascii="Calibri" w:hAnsi="Calibri" w:eastAsia="PingFang SC"/>
          <w:sz w:val="19"/>
        </w:rPr>
        <w:t>. arXiv:2607.27056,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[14] Qian et al. </w:t>
      </w:r>
      <w:r>
        <w:rPr>
          <w:rFonts w:ascii="Calibri" w:hAnsi="Calibri" w:eastAsia="PingFang SC"/>
          <w:i/>
          <w:sz w:val="19"/>
        </w:rPr>
        <w:t>Toward User-Conditioned Evaluation of Personal LLM Agents under Temporal Interventions</w:t>
      </w:r>
      <w:r>
        <w:rPr>
          <w:rFonts w:ascii="Calibri" w:hAnsi="Calibri" w:eastAsia="PingFang SC"/>
          <w:sz w:val="19"/>
        </w:rPr>
        <w:t>. arXiv:2607.21635,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[15] Yang et al. </w:t>
      </w:r>
      <w:r>
        <w:rPr>
          <w:rFonts w:ascii="Calibri" w:hAnsi="Calibri" w:eastAsia="PingFang SC"/>
          <w:i/>
          <w:sz w:val="19"/>
        </w:rPr>
        <w:t>PersonaTrail</w:t>
      </w:r>
      <w:r>
        <w:rPr>
          <w:rFonts w:ascii="Calibri" w:hAnsi="Calibri" w:eastAsia="PingFang SC"/>
          <w:sz w:val="19"/>
        </w:rPr>
        <w:t>. arXiv:2607.20482,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[16] Todisco et al. </w:t>
      </w:r>
      <w:r>
        <w:rPr>
          <w:rFonts w:ascii="Calibri" w:hAnsi="Calibri" w:eastAsia="PingFang SC"/>
          <w:i/>
          <w:sz w:val="19"/>
        </w:rPr>
        <w:t>TARS</w:t>
      </w:r>
      <w:r>
        <w:rPr>
          <w:rFonts w:ascii="Calibri" w:hAnsi="Calibri" w:eastAsia="PingFang SC"/>
          <w:sz w:val="19"/>
        </w:rPr>
        <w:t>. arXiv:2607.15948,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[17] Yang. </w:t>
      </w:r>
      <w:r>
        <w:rPr>
          <w:rFonts w:ascii="Calibri" w:hAnsi="Calibri" w:eastAsia="PingFang SC"/>
          <w:i/>
          <w:sz w:val="19"/>
        </w:rPr>
        <w:t>Self-Aware Recursively Self-Improving Agents for Personal Singularity</w:t>
      </w:r>
      <w:r>
        <w:rPr>
          <w:rFonts w:ascii="Calibri" w:hAnsi="Calibri" w:eastAsia="PingFang SC"/>
          <w:sz w:val="19"/>
        </w:rPr>
        <w:t>. arXiv:2607.12254,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[18] Mao et al. </w:t>
      </w:r>
      <w:r>
        <w:rPr>
          <w:rFonts w:ascii="Calibri" w:hAnsi="Calibri" w:eastAsia="PingFang SC"/>
          <w:i/>
          <w:sz w:val="19"/>
        </w:rPr>
        <w:t>Agents Don't Just Agree, They Remember</w:t>
      </w:r>
      <w:r>
        <w:rPr>
          <w:rFonts w:ascii="Calibri" w:hAnsi="Calibri" w:eastAsia="PingFang SC"/>
          <w:sz w:val="19"/>
        </w:rPr>
        <w:t>. arXiv:2607.10526,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[19] Yang et al. </w:t>
      </w:r>
      <w:r>
        <w:rPr>
          <w:rFonts w:ascii="Calibri" w:hAnsi="Calibri" w:eastAsia="PingFang SC"/>
          <w:i/>
          <w:sz w:val="19"/>
        </w:rPr>
        <w:t>APeB</w:t>
      </w:r>
      <w:r>
        <w:rPr>
          <w:rFonts w:ascii="Calibri" w:hAnsi="Calibri" w:eastAsia="PingFang SC"/>
          <w:sz w:val="19"/>
        </w:rPr>
        <w:t>. arXiv:2607.03162,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[20] Salemi et al. </w:t>
      </w:r>
      <w:r>
        <w:rPr>
          <w:rFonts w:ascii="Calibri" w:hAnsi="Calibri" w:eastAsia="PingFang SC"/>
          <w:i/>
          <w:sz w:val="19"/>
        </w:rPr>
        <w:t>LaMP: When Large Language Models Meet Personalization</w:t>
      </w:r>
      <w:r>
        <w:rPr>
          <w:rFonts w:ascii="Calibri" w:hAnsi="Calibri" w:eastAsia="PingFang SC"/>
          <w:sz w:val="19"/>
        </w:rPr>
        <w:t xml:space="preserve">. ACL, 2024. </w:t>
      </w:r>
      <w:hyperlink r:id="rId16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https://aclanthology.org/2024.acl-long.399/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[21] Singh et al. </w:t>
      </w:r>
      <w:r>
        <w:rPr>
          <w:rFonts w:ascii="Calibri" w:hAnsi="Calibri" w:eastAsia="PingFang SC"/>
          <w:i/>
          <w:sz w:val="19"/>
        </w:rPr>
        <w:t>Personal Large Language Model Agents: A Case Study on Tailored Travel Planning</w:t>
      </w:r>
      <w:r>
        <w:rPr>
          <w:rFonts w:ascii="Calibri" w:hAnsi="Calibri" w:eastAsia="PingFang SC"/>
          <w:sz w:val="19"/>
        </w:rPr>
        <w:t xml:space="preserve">. EMNLP Industry Track, 2024. </w:t>
      </w:r>
      <w:hyperlink r:id="rId2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https://aclanthology.org/2024.emnlp-industry.37/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[22] Zhao et al. </w:t>
      </w:r>
      <w:r>
        <w:rPr>
          <w:rFonts w:ascii="Calibri" w:hAnsi="Calibri" w:eastAsia="PingFang SC"/>
          <w:i/>
          <w:sz w:val="19"/>
        </w:rPr>
        <w:t>PersonaLens</w:t>
      </w:r>
      <w:r>
        <w:rPr>
          <w:rFonts w:ascii="Calibri" w:hAnsi="Calibri" w:eastAsia="PingFang SC"/>
          <w:sz w:val="19"/>
        </w:rPr>
        <w:t xml:space="preserve">. Findings of ACL, 2025. </w:t>
      </w:r>
      <w:hyperlink r:id="rId17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https://aclanthology.org/2025.findings-acl.927/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[23] Jiang et al. </w:t>
      </w:r>
      <w:r>
        <w:rPr>
          <w:rFonts w:ascii="Calibri" w:hAnsi="Calibri" w:eastAsia="PingFang SC"/>
          <w:i/>
          <w:sz w:val="19"/>
        </w:rPr>
        <w:t>Know Me, Respond to Me</w:t>
      </w:r>
      <w:r>
        <w:rPr>
          <w:rFonts w:ascii="Calibri" w:hAnsi="Calibri" w:eastAsia="PingFang SC"/>
          <w:sz w:val="19"/>
        </w:rPr>
        <w:t>. arXiv:2504.14225,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[24] Hao et al. </w:t>
      </w:r>
      <w:r>
        <w:rPr>
          <w:rFonts w:ascii="Calibri" w:hAnsi="Calibri" w:eastAsia="PingFang SC"/>
          <w:i/>
          <w:sz w:val="19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9"/>
        </w:rPr>
        <w:t xml:space="preserve">. ACL, 2025. </w:t>
      </w:r>
      <w:hyperlink r:id="rId23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https://aclanthology.org/2025.acl-long.1064/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[25] Cheng et al. </w:t>
      </w:r>
      <w:r>
        <w:rPr>
          <w:rFonts w:ascii="Calibri" w:hAnsi="Calibri" w:eastAsia="PingFang SC"/>
          <w:i/>
          <w:sz w:val="19"/>
        </w:rPr>
        <w:t>ToolSpectrum</w:t>
      </w:r>
      <w:r>
        <w:rPr>
          <w:rFonts w:ascii="Calibri" w:hAnsi="Calibri" w:eastAsia="PingFang SC"/>
          <w:sz w:val="19"/>
        </w:rPr>
        <w:t>. arXiv:2505.13176,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[26] Zhang et al. </w:t>
      </w:r>
      <w:r>
        <w:rPr>
          <w:rFonts w:ascii="Calibri" w:hAnsi="Calibri" w:eastAsia="PingFang SC"/>
          <w:i/>
          <w:sz w:val="19"/>
        </w:rPr>
        <w:t>PRIME</w:t>
      </w:r>
      <w:r>
        <w:rPr>
          <w:rFonts w:ascii="Calibri" w:hAnsi="Calibri" w:eastAsia="PingFang SC"/>
          <w:sz w:val="19"/>
        </w:rPr>
        <w:t xml:space="preserve">. EMNLP, 2025. </w:t>
      </w:r>
      <w:hyperlink r:id="rId39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https://aclanthology.org/2025.emnlp-main.1711/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[27] Li et al. </w:t>
      </w:r>
      <w:r>
        <w:rPr>
          <w:rFonts w:ascii="Calibri" w:hAnsi="Calibri" w:eastAsia="PingFang SC"/>
          <w:i/>
          <w:sz w:val="19"/>
        </w:rPr>
        <w:t>Personalized Deep Research: A User-Centric Framework, Dataset, and Hybrid Evaluation</w:t>
      </w:r>
      <w:r>
        <w:rPr>
          <w:rFonts w:ascii="Calibri" w:hAnsi="Calibri" w:eastAsia="PingFang SC"/>
          <w:sz w:val="19"/>
        </w:rPr>
        <w:t>. arXiv:2605.10530,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[28] Balepur et al. </w:t>
      </w:r>
      <w:r>
        <w:rPr>
          <w:rFonts w:ascii="Calibri" w:hAnsi="Calibri" w:eastAsia="PingFang SC"/>
          <w:i/>
          <w:sz w:val="19"/>
        </w:rPr>
        <w:t>Language Models Don't Know What You Want</w:t>
      </w:r>
      <w:r>
        <w:rPr>
          <w:rFonts w:ascii="Calibri" w:hAnsi="Calibri" w:eastAsia="PingFang SC"/>
          <w:sz w:val="19"/>
        </w:rPr>
        <w:t xml:space="preserve">. ACL, 2026. </w:t>
      </w:r>
      <w:hyperlink r:id="rId37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https://aclanthology.org/2026.acl-long.723/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[29] Garbacea et al. </w:t>
      </w:r>
      <w:r>
        <w:rPr>
          <w:rFonts w:ascii="Calibri" w:hAnsi="Calibri" w:eastAsia="PingFang SC"/>
          <w:i/>
          <w:sz w:val="19"/>
        </w:rPr>
        <w:t>Personalized Benchmarking: Evaluating LLMs by Individual Preferences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40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https://aclanthology.org/2026.findings-acl.31/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[30] Feng et al. </w:t>
      </w:r>
      <w:r>
        <w:rPr>
          <w:rFonts w:ascii="Calibri" w:hAnsi="Calibri" w:eastAsia="PingFang SC"/>
          <w:i/>
          <w:sz w:val="19"/>
        </w:rPr>
        <w:t>How Does Personalized Memory Shape LLM Behavior?</w:t>
      </w:r>
      <w:r>
        <w:rPr>
          <w:rFonts w:ascii="Calibri" w:hAnsi="Calibri" w:eastAsia="PingFang SC"/>
          <w:sz w:val="19"/>
        </w:rPr>
        <w:t xml:space="preserve"> arXiv:2601.16621,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[31] Liang et al. </w:t>
      </w:r>
      <w:r>
        <w:rPr>
          <w:rFonts w:ascii="Calibri" w:hAnsi="Calibri" w:eastAsia="PingFang SC"/>
          <w:i/>
          <w:sz w:val="19"/>
        </w:rPr>
        <w:t>Learning Personalized Agents from Human Feedback</w:t>
      </w:r>
      <w:r>
        <w:rPr>
          <w:rFonts w:ascii="Calibri" w:hAnsi="Calibri" w:eastAsia="PingFang SC"/>
          <w:sz w:val="19"/>
        </w:rPr>
        <w:t>. arXiv:2602.16173,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[32] In et al. </w:t>
      </w:r>
      <w:r>
        <w:rPr>
          <w:rFonts w:ascii="Calibri" w:hAnsi="Calibri" w:eastAsia="PingFang SC"/>
          <w:i/>
          <w:sz w:val="19"/>
        </w:rPr>
        <w:t>Personalize-then-Store</w:t>
      </w:r>
      <w:r>
        <w:rPr>
          <w:rFonts w:ascii="Calibri" w:hAnsi="Calibri" w:eastAsia="PingFang SC"/>
          <w:sz w:val="19"/>
        </w:rPr>
        <w:t>. arXiv:2605.25535,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[33] Uddin et al. </w:t>
      </w:r>
      <w:r>
        <w:rPr>
          <w:rFonts w:ascii="Calibri" w:hAnsi="Calibri" w:eastAsia="PingFang SC"/>
          <w:i/>
          <w:sz w:val="19"/>
        </w:rPr>
        <w:t>From Recall to Forgetting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31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https://aclanthology.org/2026.findings-acl.1337/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[34] Hu et al. </w:t>
      </w:r>
      <w:r>
        <w:rPr>
          <w:rFonts w:ascii="Calibri" w:hAnsi="Calibri" w:eastAsia="PingFang SC"/>
          <w:i/>
          <w:sz w:val="19"/>
        </w:rPr>
        <w:t>CloneMem</w:t>
      </w:r>
      <w:r>
        <w:rPr>
          <w:rFonts w:ascii="Calibri" w:hAnsi="Calibri" w:eastAsia="PingFang SC"/>
          <w:sz w:val="19"/>
        </w:rPr>
        <w:t xml:space="preserve">. ACL, 2026. </w:t>
      </w:r>
      <w:hyperlink r:id="rId3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https://aclanthology.org/2026.acl-long.1549/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[35] Shen et al. </w:t>
      </w:r>
      <w:r>
        <w:rPr>
          <w:rFonts w:ascii="Calibri" w:hAnsi="Calibri" w:eastAsia="PingFang SC"/>
          <w:i/>
          <w:sz w:val="19"/>
        </w:rPr>
        <w:t>Mem2ActBench</w:t>
      </w:r>
      <w:r>
        <w:rPr>
          <w:rFonts w:ascii="Calibri" w:hAnsi="Calibri" w:eastAsia="PingFang SC"/>
          <w:sz w:val="19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https://aclanthology.org/2026.acl-long.370/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[36] Chen et al. </w:t>
      </w:r>
      <w:r>
        <w:rPr>
          <w:rFonts w:ascii="Calibri" w:hAnsi="Calibri" w:eastAsia="PingFang SC"/>
          <w:i/>
          <w:sz w:val="19"/>
        </w:rPr>
        <w:t>Towards Preference Following in Tool Calling Language Agents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26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https://aclanthology.org/2026.findings-acl.1676/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[37] Lyu et al. </w:t>
      </w:r>
      <w:r>
        <w:rPr>
          <w:rFonts w:ascii="Calibri" w:hAnsi="Calibri" w:eastAsia="PingFang SC"/>
          <w:i/>
          <w:sz w:val="19"/>
        </w:rPr>
        <w:t>PersonalAlign</w:t>
      </w:r>
      <w:r>
        <w:rPr>
          <w:rFonts w:ascii="Calibri" w:hAnsi="Calibri" w:eastAsia="PingFang SC"/>
          <w:sz w:val="19"/>
        </w:rPr>
        <w:t xml:space="preserve">. ACL, 2026. </w:t>
      </w:r>
      <w:hyperlink r:id="rId41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https://aclanthology.org/2026.acl-long.1669/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[38] Wang et al. </w:t>
      </w:r>
      <w:r>
        <w:rPr>
          <w:rFonts w:ascii="Calibri" w:hAnsi="Calibri" w:eastAsia="PingFang SC"/>
          <w:i/>
          <w:sz w:val="19"/>
        </w:rPr>
        <w:t>OPeRA</w:t>
      </w:r>
      <w:r>
        <w:rPr>
          <w:rFonts w:ascii="Calibri" w:hAnsi="Calibri" w:eastAsia="PingFang SC"/>
          <w:sz w:val="19"/>
        </w:rPr>
        <w:t xml:space="preserve">. ACL, 2026. </w:t>
      </w:r>
      <w:hyperlink r:id="rId4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https://aclanthology.org/2026.acl-long.2033/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[39] Guo et al. </w:t>
      </w:r>
      <w:r>
        <w:rPr>
          <w:rFonts w:ascii="Calibri" w:hAnsi="Calibri" w:eastAsia="PingFang SC"/>
          <w:i/>
          <w:sz w:val="19"/>
        </w:rPr>
        <w:t>When Personalization Legitimizes Risks</w:t>
      </w:r>
      <w:r>
        <w:rPr>
          <w:rFonts w:ascii="Calibri" w:hAnsi="Calibri" w:eastAsia="PingFang SC"/>
          <w:sz w:val="19"/>
        </w:rPr>
        <w:t xml:space="preserve">. ACL, 2026. </w:t>
      </w:r>
      <w:hyperlink r:id="rId34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https://aclanthology.org/2026.acl-long.1260/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clanthology.org/2024.acl-long.399/" TargetMode="External"/><Relationship Id="rId17" Type="http://schemas.openxmlformats.org/officeDocument/2006/relationships/hyperlink" Target="https://aclanthology.org/2025.findings-acl.927/" TargetMode="External"/><Relationship Id="rId18" Type="http://schemas.openxmlformats.org/officeDocument/2006/relationships/hyperlink" Target="https://arxiv.org/abs/2504.14225" TargetMode="External"/><Relationship Id="rId19" Type="http://schemas.openxmlformats.org/officeDocument/2006/relationships/hyperlink" Target="https://arxiv.org/abs/2607.27056" TargetMode="External"/><Relationship Id="rId20" Type="http://schemas.openxmlformats.org/officeDocument/2006/relationships/hyperlink" Target="https://arxiv.org/abs/2607.20482" TargetMode="External"/><Relationship Id="rId21" Type="http://schemas.openxmlformats.org/officeDocument/2006/relationships/hyperlink" Target="https://arxiv.org/abs/2607.03162" TargetMode="External"/><Relationship Id="rId22" Type="http://schemas.openxmlformats.org/officeDocument/2006/relationships/hyperlink" Target="https://aclanthology.org/2024.emnlp-industry.37/" TargetMode="External"/><Relationship Id="rId23" Type="http://schemas.openxmlformats.org/officeDocument/2006/relationships/hyperlink" Target="https://aclanthology.org/2025.acl-long.1064/" TargetMode="External"/><Relationship Id="rId24" Type="http://schemas.openxmlformats.org/officeDocument/2006/relationships/hyperlink" Target="https://arxiv.org/abs/2505.13176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clanthology.org/2026.findings-acl.1676/" TargetMode="External"/><Relationship Id="rId27" Type="http://schemas.openxmlformats.org/officeDocument/2006/relationships/hyperlink" Target="https://arxiv.org/abs/2607.15948" TargetMode="External"/><Relationship Id="rId28" Type="http://schemas.openxmlformats.org/officeDocument/2006/relationships/hyperlink" Target="https://arxiv.org/abs/2601.16621" TargetMode="External"/><Relationship Id="rId29" Type="http://schemas.openxmlformats.org/officeDocument/2006/relationships/hyperlink" Target="https://arxiv.org/abs/2602.16173" TargetMode="External"/><Relationship Id="rId30" Type="http://schemas.openxmlformats.org/officeDocument/2006/relationships/hyperlink" Target="https://arxiv.org/abs/2605.25535" TargetMode="External"/><Relationship Id="rId31" Type="http://schemas.openxmlformats.org/officeDocument/2006/relationships/hyperlink" Target="https://aclanthology.org/2026.findings-acl.1337/" TargetMode="External"/><Relationship Id="rId32" Type="http://schemas.openxmlformats.org/officeDocument/2006/relationships/hyperlink" Target="https://aclanthology.org/2026.acl-long.1549/" TargetMode="External"/><Relationship Id="rId33" Type="http://schemas.openxmlformats.org/officeDocument/2006/relationships/hyperlink" Target="https://arxiv.org/abs/2607.10526" TargetMode="External"/><Relationship Id="rId34" Type="http://schemas.openxmlformats.org/officeDocument/2006/relationships/hyperlink" Target="https://aclanthology.org/2026.acl-long.1260/" TargetMode="External"/><Relationship Id="rId35" Type="http://schemas.openxmlformats.org/officeDocument/2006/relationships/hyperlink" Target="https://arxiv.org/abs/2509.25106" TargetMode="External"/><Relationship Id="rId36" Type="http://schemas.openxmlformats.org/officeDocument/2006/relationships/hyperlink" Target="https://arxiv.org/abs/2605.10530" TargetMode="External"/><Relationship Id="rId37" Type="http://schemas.openxmlformats.org/officeDocument/2006/relationships/hyperlink" Target="https://aclanthology.org/2026.acl-long.723/" TargetMode="External"/><Relationship Id="rId38" Type="http://schemas.openxmlformats.org/officeDocument/2006/relationships/hyperlink" Target="https://evalscope.readthedocs.io/en/refact_readme/get_started/introduction.html" TargetMode="External"/><Relationship Id="rId39" Type="http://schemas.openxmlformats.org/officeDocument/2006/relationships/hyperlink" Target="https://aclanthology.org/2025.emnlp-main.1711/" TargetMode="External"/><Relationship Id="rId40" Type="http://schemas.openxmlformats.org/officeDocument/2006/relationships/hyperlink" Target="https://aclanthology.org/2026.findings-acl.31/" TargetMode="External"/><Relationship Id="rId41" Type="http://schemas.openxmlformats.org/officeDocument/2006/relationships/hyperlink" Target="https://aclanthology.org/2026.acl-long.1669/" TargetMode="External"/><Relationship Id="rId42" Type="http://schemas.openxmlformats.org/officeDocument/2006/relationships/hyperlink" Target="https://aclanthology.org/2026.acl-long.20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