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v0.19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对照检验用户特异价值，同时对事实性、共同质量和隐私设置不可补偿门槛。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个性化 agent 研究已经从用户历史建模扩展到任务对话、工具调用、长程记忆和 Deep Research；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当前缺口不是“无人评测个性化”，而是缺少一个能在广义 Deep Research 最终交付物上排除一般质量、篇幅、文风和 persona 复述的识别协议。本项目拟构建 DeepAlign-Bench，评估长程智能体能否从不同渠道获得与任务相关的用户信息，在执行过程中保持、使用和更新这些信息，并交付必要且正确的用户特异结果。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现有文献先解决了“研究结果一般好不好”。LiveResearchBench、PaperBench 等评价任务完成、事实、引用和报告完整性，OpenCompass 与 EvalScope 提供运行基础设施。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这些指标是个性化不能牺牲的共同质量底线，但它们通常不回答“同一份证据对哪个用户更有用”。</w:t>
      </w:r>
    </w:p>
    <w:p>
      <w:r>
        <w:rPr>
          <w:rFonts w:ascii="Calibri" w:hAnsi="Calibri" w:eastAsia="PingFang SC"/>
        </w:rPr>
        <w:t>随后，研究开始让评价函数随用户改变。LaMP 从用户历史评测个性化生成，PersonaLens 把丰富画像和历史放进任务型对话，PersonaMem 要求模型跟踪会变化的用户画像；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r>
        <w:rPr>
          <w:rFonts w:ascii="Calibri" w:hAnsi="Calibri" w:eastAsia="PingFang SC"/>
        </w:rPr>
        <w:t xml:space="preserve"> Setoka、PersonaTrail 和 APeB 又把用户信号扩展到异构记录、浏览轨迹和行为日志。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22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r>
        <w:rPr>
          <w:rFonts w:ascii="Calibri" w:hAnsi="Calibri" w:eastAsia="PingFang SC"/>
        </w:rPr>
        <w:t xml:space="preserve"> 因此，“用户理解或历史利用无人评测”已经不是可辩护的起点；这些工作主要仍以响应选择、记忆问答或单域意图为终点。</w:t>
      </w:r>
    </w:p>
    <w:p>
      <w:r>
        <w:rPr>
          <w:rFonts w:ascii="Calibri" w:hAnsi="Calibri" w:eastAsia="PingFang SC"/>
        </w:rPr>
        <w:t>个性化也已经从“说什么”进入“做什么”。ETAPP 用人工关键点评测个性化与主动工具调用，Mem2ActBench 检查长期记忆能否落实到工具参数；</w:t>
      </w:r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r>
        <w:rPr>
          <w:rFonts w:ascii="Calibri" w:hAnsi="Calibri" w:eastAsia="PingFang SC"/>
        </w:rPr>
        <w:t xml:space="preserve"> TARS 测代码解释的人类效用，PAHF 用澄清、记忆和反馈适应偏好漂移，PASB 与 PS-Bench 分别暴露持久写入和良性个人记忆带来的安全风险。</w:t>
      </w:r>
      <w:hyperlink r:id="rId2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[29]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8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r>
        <w:rPr>
          <w:rFonts w:ascii="Calibri" w:hAnsi="Calibri" w:eastAsia="PingFang SC"/>
        </w:rPr>
        <w:t xml:space="preserve"> 这意味着 DeepAlign-Bench 不能把“行动、更新或风险”本身当作首创；现有终点多是离散工具/GUI 行动、分类、推荐或安全失败，还没有统一到多证据的开放式 DR 交付物。</w:t>
      </w:r>
    </w:p>
    <w:p>
      <w:r>
        <w:rPr>
          <w:rFonts w:ascii="Calibri" w:hAnsi="Calibri" w:eastAsia="PingFang SC"/>
        </w:rPr>
        <w:t>最后，PDR-Bench 和另一项 PDR 工作已经把 persona 或动态用户上下文接入 Deep Research；</w:t>
      </w:r>
      <w:hyperlink r:id="rId29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更进一步：它生成个性化学术报告，并发现合成用户与 LLM judge 会漏掉真人指出的九类细微错误。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因而本项目最终收敛到一个更窄的问题：</w:t>
      </w:r>
      <w:r>
        <w:rPr>
          <w:rFonts w:ascii="Calibri" w:hAnsi="Calibri" w:eastAsia="PingFang SC"/>
          <w:b/>
        </w:rPr>
        <w:t>固定任务、证据、工具和预算后，交换两个都合理的目标用户，哪份最终交付物仍然更适合谁？</w:t>
      </w:r>
      <w:r>
        <w:rPr>
          <w:rFonts w:ascii="Calibri" w:hAnsi="Calibri" w:eastAsia="PingFang SC"/>
        </w:rPr>
        <w:t xml:space="preserve"> 若没有 matched/swapped 交换、预冻结差异真值和真人校准，persona 条件得分更高仍可能只是输入/输出更长、关键词更明显或 judge 偏爱更具体的写法。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personalization、history、tool use、persistent state 或 temporal intervention；它解决的是这些方向在广义 DR 最终交付物上的识别缺口：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如何证明交付物差异来自用户需求，而不是篇幅、格式或关键词；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如何区分最终交付物效用与获取、保持、利用、更新/恢复等过程机制；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可辩护的主张是：在广义 Deep Research 的多类最终交付物上，将异构用户信号、matched/swapped 用户交换、预冻结 must-change/must-hold/must-not 真值、长程干预和独立 JudgeBench 放进同一可审计协议。若 matched/swapped 人评不稳定，或效应可由长度、风格和共同质量解释，论文将收缩为 outcome-centered evaluation study。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RQ3：长程保持与恢复。</w:t>
      </w:r>
      <w:r>
        <w:rPr>
          <w:rFonts w:ascii="Calibri" w:hAnsi="Calibri" w:eastAsia="PingFang SC"/>
        </w:rPr>
        <w:t xml:space="preserve"> 上下文稀释、信息冲突、agent 交接和用户状态更新是否降低适配，重新锚定能否恢复？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交付物，且该差异不能由输出长度或通用质量解释。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语义内容相同时，非结构化历史的适配优势低于结构化 persona。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长上下文干扰使用户特异适配比共同任务质量下降更快；re-anchor 能选择性恢复适配。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类型在忽略约束、信息冲突、过度个性化和恢复失败上存在可重复差异。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152" w:right="1152" w:bottom="1152" w:left="1152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30"/>
          <w:footerReference w:type="default" r:id="rId3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使用情境包括个人与日常、专业与企业、学术与前沿；研究意图包括理解与综合、发现与枚举、比较与决策、评估与预测、规划/设计/排障、验证与审计。需求剖面分别标注概念广度、逻辑嵌套、探索性、搜索 fan-out、时效、风险/可逆性和交互需求，不压缩成单一难度分。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固定任务、证据和资源，构造两个对结果有实质影响的强对比用户。Persona 是 task-conditioned user-state ledger 的一种展示。每条用户信息记录来源、时间、可信度、任务相关性、敏感度，以及是否允许写入最终交付物。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Frozen Core：</w:t>
      </w:r>
      <w:r>
        <w:rPr>
          <w:rFonts w:ascii="Calibri" w:hAnsi="Calibri" w:eastAsia="PingFang SC"/>
        </w:rPr>
        <w:t xml:space="preserve"> 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Web：</w:t>
      </w:r>
      <w:r>
        <w:rPr>
          <w:rFonts w:ascii="Calibri" w:hAnsi="Calibri" w:eastAsia="PingFang SC"/>
        </w:rPr>
        <w:t xml:space="preserve"> 记录日期、搜索服务和网页快照，仅用于生态有效性；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Longitudinal/Interactive：</w:t>
      </w:r>
      <w:r>
        <w:rPr>
          <w:rFonts w:ascii="Calibri" w:hAnsi="Calibri" w:eastAsia="PingFang SC"/>
        </w:rPr>
        <w:t xml:space="preserve"> 用户状态中途变化，用于保持、更新和恢复测试。</w:t>
      </w:r>
    </w:p>
    <w:p>
      <w:r>
        <w:rPr>
          <w:rFonts w:ascii="Calibri" w:hAnsi="Calibri" w:eastAsia="PingFang SC"/>
        </w:rPr>
        <w:t>8 个 anchor family 是压力测试宿主，不是 persona 类别。先构造两个用户都与任务合理匹配的 clean family，冻结 must-change/must-hold 和 matched/swapped 真值；再固定目标用户、任务、证据和预算，只改变可见 signal bundle、上下文位置、交接摘要或更新时间。Persona–task 匹配只是基线的前置门。</w:t>
      </w:r>
    </w:p>
    <w:p>
      <w:r>
        <w:rPr>
          <w:rFonts w:ascii="Calibri" w:hAnsi="Calibri" w:eastAsia="PingFang SC"/>
        </w:rPr>
        <w:t>所有 anchor 运行 clean、persona swap 和 irrelevant-signal；冲突/过期、dilution、handoff 和动态更新按预注册适用性分配。Re-anchor 是恢复干预，在固定子集上无论基线是否失败都成对运行，避免选择偏差。报告 ΔPF/invariance、冲突解析、retention/AUC、handoff loss、update correctness、recovery gain 及 TQ/事实/隐私副作用；不同轨道和预算不混榜。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re-anchor 的受控重跑做机制诊断。如果该子集未完成，论文只报告最终交付物个性化，不声称已定位内部偏移机制。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当前 case 的 rubric 由 core、personalization、research intent、deliverable、behavioral operator 和 risk 六类模块组成。统一的是叶节点 schema、适用条件和校准程序，而不是让所有任务共用一张评分表。每个叶节点包含评价类型、适用条件、预期方向、证据对象、评分锚点、严重性、权重和 verifier。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Recovery：</w:t>
      </w:r>
      <w:r>
        <w:rPr>
          <w:rFonts w:ascii="Calibri" w:hAnsi="Calibri" w:eastAsia="PingFang SC"/>
        </w:rPr>
        <w:t xml:space="preserve"> 长程干扰下的适配保留率、重新锚定后的恢复收益及其副作用。</w:t>
      </w:r>
    </w:p>
    <w:p>
      <w:r>
        <w:rPr>
          <w:rFonts w:ascii="Calibri" w:hAnsi="Calibri" w:eastAsia="PingFang SC"/>
        </w:rPr>
        <w:t>主榜先应用 TQ、FR 和关键隐私/安全门槛，再报告 PF-MP、CFA、Retention 和 Recovery。不将这些指标简单平均成允许相互补偿的总分。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must-hold，再处理分歧。人类真值分工固定：领域专家评事实、证据和共同质量，目标用户确认 must-change / must-not 并盲评 matched/swapped；纯合成 persona 只用于压力测试，不能单独支撑真实用户效用。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Rubric 必须通过 matched/swapped 区分力、无关 persona invariance 和跨任务模块校准后才进入主实验。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 matched/swapped 任务族识别用户特异价值的反事实评估方法；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个性化效应在控制输出长度、共同质量和评委偏差后仍存在；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人评和可复现分析；所有 real-user-gold family 与不少于 8 个分层 family 收集目标用户 matched/swapped 盲评。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和 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无区分力的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基线和 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完成主矩阵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统计、覆盖审计、消融和 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Judge 偏好文风或长度：</w:t>
      </w:r>
      <w:r>
        <w:rPr>
          <w:rFonts w:ascii="Calibri" w:hAnsi="Calibri" w:eastAsia="PingFang SC"/>
        </w:rPr>
        <w:t xml:space="preserve"> 运行位置交换、长度匹配、关键词诱饵和弃权测试；低置信样本转人评。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Core，论文仅声称测量最终交付物的用户适配。只有当轨迹审计与受控重跑完成时，才报告保持、更新和恢复机制。本项目不声称首版覆盖所有 Deep Research 模式，只对 coverage manifest 中标记为 tested 的组合作结论。</w:t>
      </w: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OpenCompass Team. </w:t>
      </w:r>
      <w:r>
        <w:rPr>
          <w:rFonts w:ascii="Calibri" w:hAnsi="Calibri" w:eastAsia="PingFang SC"/>
          <w:i/>
          <w:sz w:val="15"/>
        </w:rPr>
        <w:t>OpenCompass: A Universal Evaluation Platform for Large Language Models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EvalScope Documentation. </w:t>
      </w:r>
      <w:r>
        <w:rPr>
          <w:rFonts w:ascii="Calibri" w:hAnsi="Calibri" w:eastAsia="PingFang SC"/>
          <w:i/>
          <w:sz w:val="15"/>
        </w:rPr>
        <w:t>Getting Started and Evaluation Backends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Zhang et al. </w:t>
      </w:r>
      <w:r>
        <w:rPr>
          <w:rFonts w:ascii="Calibri" w:hAnsi="Calibri" w:eastAsia="PingFang SC"/>
          <w:i/>
          <w:sz w:val="15"/>
        </w:rPr>
        <w:t>Agent-SafetyBench: Evaluating the Safety of LLM Agents</w:t>
      </w:r>
      <w:r>
        <w:rPr>
          <w:rFonts w:ascii="Calibri" w:hAnsi="Calibri" w:eastAsia="PingFang SC"/>
          <w:sz w:val="15"/>
        </w:rPr>
        <w:t>. arXiv:2412.14470,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>. arXiv:2509.25106,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Wang et al. </w:t>
      </w:r>
      <w:r>
        <w:rPr>
          <w:rFonts w:ascii="Calibri" w:hAnsi="Calibri" w:eastAsia="PingFang SC"/>
          <w:i/>
          <w:sz w:val="15"/>
        </w:rPr>
        <w:t>LiveResearchBench: A Live Benchmark for User-Centric Deep Research in the Wild</w:t>
      </w:r>
      <w:r>
        <w:rPr>
          <w:rFonts w:ascii="Calibri" w:hAnsi="Calibri" w:eastAsia="PingFang SC"/>
          <w:sz w:val="15"/>
        </w:rPr>
        <w:t>. arXiv:2510.14240,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Sharma et al. </w:t>
      </w:r>
      <w:r>
        <w:rPr>
          <w:rFonts w:ascii="Calibri" w:hAnsi="Calibri" w:eastAsia="PingFang SC"/>
          <w:i/>
          <w:sz w:val="15"/>
        </w:rPr>
        <w:t>ResearchRubrics: A Benchmark of Prompts and Rubrics for Evaluating Deep Research Agents</w:t>
      </w:r>
      <w:r>
        <w:rPr>
          <w:rFonts w:ascii="Calibri" w:hAnsi="Calibri" w:eastAsia="PingFang SC"/>
          <w:sz w:val="15"/>
        </w:rPr>
        <w:t>. arXiv:2511.07685,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Starace et al. </w:t>
      </w:r>
      <w:r>
        <w:rPr>
          <w:rFonts w:ascii="Calibri" w:hAnsi="Calibri" w:eastAsia="PingFang SC"/>
          <w:i/>
          <w:sz w:val="15"/>
        </w:rPr>
        <w:t>PaperBench: Evaluating AI's Ability to Replicate AI Research</w:t>
      </w:r>
      <w:r>
        <w:rPr>
          <w:rFonts w:ascii="Calibri" w:hAnsi="Calibri" w:eastAsia="PingFang SC"/>
          <w:sz w:val="15"/>
        </w:rPr>
        <w:t>. OpenAI,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Yoran et al. </w:t>
      </w:r>
      <w:r>
        <w:rPr>
          <w:rFonts w:ascii="Calibri" w:hAnsi="Calibri" w:eastAsia="PingFang SC"/>
          <w:i/>
          <w:sz w:val="15"/>
        </w:rPr>
        <w:t>AssistantBench: Can Web Agents Solve Realistic and Time-Consuming Tasks?</w:t>
      </w:r>
      <w:r>
        <w:rPr>
          <w:rFonts w:ascii="Calibri" w:hAnsi="Calibri" w:eastAsia="PingFang SC"/>
          <w:sz w:val="15"/>
        </w:rPr>
        <w:t xml:space="preserve"> arXiv:2407.15711,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[9] Java et al. </w:t>
      </w:r>
      <w:r>
        <w:rPr>
          <w:rFonts w:ascii="Calibri" w:hAnsi="Calibri" w:eastAsia="PingFang SC"/>
          <w:i/>
          <w:sz w:val="15"/>
        </w:rPr>
        <w:t>Characterizing Deep Research: A Benchmark and Formal Definition</w:t>
      </w:r>
      <w:r>
        <w:rPr>
          <w:rFonts w:ascii="Calibri" w:hAnsi="Calibri" w:eastAsia="PingFang SC"/>
          <w:sz w:val="15"/>
        </w:rPr>
        <w:t>. arXiv:2508.04183,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[10] Abaskohi et al. </w:t>
      </w:r>
      <w:r>
        <w:rPr>
          <w:rFonts w:ascii="Calibri" w:hAnsi="Calibri" w:eastAsia="PingFang SC"/>
          <w:i/>
          <w:sz w:val="15"/>
        </w:rPr>
        <w:t>DRBench: A Realistic Benchmark for Enterprise Deep Research</w:t>
      </w:r>
      <w:r>
        <w:rPr>
          <w:rFonts w:ascii="Calibri" w:hAnsi="Calibri" w:eastAsia="PingFang SC"/>
          <w:sz w:val="15"/>
        </w:rPr>
        <w:t>. arXiv:2510.00172,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[11] Liang et al. </w:t>
      </w:r>
      <w:r>
        <w:rPr>
          <w:rFonts w:ascii="Calibri" w:hAnsi="Calibri" w:eastAsia="PingFang SC"/>
          <w:i/>
          <w:sz w:val="15"/>
        </w:rPr>
        <w:t>Holistic Evaluation of Language Models</w:t>
      </w:r>
      <w:r>
        <w:rPr>
          <w:rFonts w:ascii="Calibri" w:hAnsi="Calibri" w:eastAsia="PingFang SC"/>
          <w:sz w:val="15"/>
        </w:rPr>
        <w:t>. TMLR,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[12] Ribeiro et al. </w:t>
      </w:r>
      <w:r>
        <w:rPr>
          <w:rFonts w:ascii="Calibri" w:hAnsi="Calibri" w:eastAsia="PingFang SC"/>
          <w:i/>
          <w:sz w:val="15"/>
        </w:rPr>
        <w:t>Beyond Accuracy: Behavioral Testing of NLP Models with CheckList</w:t>
      </w:r>
      <w:r>
        <w:rPr>
          <w:rFonts w:ascii="Calibri" w:hAnsi="Calibri" w:eastAsia="PingFang SC"/>
          <w:sz w:val="15"/>
        </w:rPr>
        <w:t>. ACL, 2020.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[13] Reuel et al. </w:t>
      </w:r>
      <w:r>
        <w:rPr>
          <w:rFonts w:ascii="Calibri" w:hAnsi="Calibri" w:eastAsia="PingFang SC"/>
          <w:i/>
          <w:sz w:val="15"/>
        </w:rPr>
        <w:t>BetterBench: Assessing AI Benchmarks, Uncovering Issues, and Establishing Best Practices</w:t>
      </w:r>
      <w:r>
        <w:rPr>
          <w:rFonts w:ascii="Calibri" w:hAnsi="Calibri" w:eastAsia="PingFang SC"/>
          <w:sz w:val="15"/>
        </w:rPr>
        <w:t>. arXiv:2411.12990,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[14] Zhu et al. </w:t>
      </w:r>
      <w:r>
        <w:rPr>
          <w:rFonts w:ascii="Calibri" w:hAnsi="Calibri" w:eastAsia="PingFang SC"/>
          <w:i/>
          <w:sz w:val="15"/>
        </w:rPr>
        <w:t>JudgeLM: Fine-tuned Large Language Models are Scalable Judges</w:t>
      </w:r>
      <w:r>
        <w:rPr>
          <w:rFonts w:ascii="Calibri" w:hAnsi="Calibri" w:eastAsia="PingFang SC"/>
          <w:sz w:val="15"/>
        </w:rPr>
        <w:t>. arXiv:2310.17631,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[15] Huang et al. </w:t>
      </w:r>
      <w:r>
        <w:rPr>
          <w:rFonts w:ascii="Calibri" w:hAnsi="Calibri" w:eastAsia="PingFang SC"/>
          <w:i/>
          <w:sz w:val="15"/>
        </w:rPr>
        <w:t>An Empirical Study of LLM-as-a-Judge for LLM Evaluation</w:t>
      </w:r>
      <w:r>
        <w:rPr>
          <w:rFonts w:ascii="Calibri" w:hAnsi="Calibri" w:eastAsia="PingFang SC"/>
          <w:sz w:val="15"/>
        </w:rPr>
        <w:t>. arXiv:2403.02839,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[16] Zeng et al. </w:t>
      </w:r>
      <w:r>
        <w:rPr>
          <w:rFonts w:ascii="Calibri" w:hAnsi="Calibri" w:eastAsia="PingFang SC"/>
          <w:i/>
          <w:sz w:val="15"/>
        </w:rPr>
        <w:t>Setoka: A Benchmark for Hierarchical User Understanding in Personalized Agents over Heterogeneous Data</w:t>
      </w:r>
      <w:r>
        <w:rPr>
          <w:rFonts w:ascii="Calibri" w:hAnsi="Calibri" w:eastAsia="PingFang SC"/>
          <w:sz w:val="15"/>
        </w:rPr>
        <w:t>. arXiv:2607.27056,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[17] Qian et al. </w:t>
      </w:r>
      <w:r>
        <w:rPr>
          <w:rFonts w:ascii="Calibri" w:hAnsi="Calibri" w:eastAsia="PingFang SC"/>
          <w:i/>
          <w:sz w:val="15"/>
        </w:rPr>
        <w:t>Toward User-Conditioned Evaluation of Personal LLM Agents under Temporal Interventions</w:t>
      </w:r>
      <w:r>
        <w:rPr>
          <w:rFonts w:ascii="Calibri" w:hAnsi="Calibri" w:eastAsia="PingFang SC"/>
          <w:sz w:val="15"/>
        </w:rPr>
        <w:t>. arXiv:2607.21635,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[18] Yang et al. </w:t>
      </w:r>
      <w:r>
        <w:rPr>
          <w:rFonts w:ascii="Calibri" w:hAnsi="Calibri" w:eastAsia="PingFang SC"/>
          <w:i/>
          <w:sz w:val="15"/>
        </w:rPr>
        <w:t>PersonaTrail: Benchmarking Personalized Web Agents through Browsing Trails</w:t>
      </w:r>
      <w:r>
        <w:rPr>
          <w:rFonts w:ascii="Calibri" w:hAnsi="Calibri" w:eastAsia="PingFang SC"/>
          <w:sz w:val="15"/>
        </w:rPr>
        <w:t>. arXiv:2607.20482,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[19] Todisco et al. </w:t>
      </w:r>
      <w:r>
        <w:rPr>
          <w:rFonts w:ascii="Calibri" w:hAnsi="Calibri" w:eastAsia="PingFang SC"/>
          <w:i/>
          <w:sz w:val="15"/>
        </w:rPr>
        <w:t>TARS: A Theory-of-Mind Agent for Personalized In-IDE Code Comprehension</w:t>
      </w:r>
      <w:r>
        <w:rPr>
          <w:rFonts w:ascii="Calibri" w:hAnsi="Calibri" w:eastAsia="PingFang SC"/>
          <w:sz w:val="15"/>
        </w:rPr>
        <w:t>. arXiv:2607.15948,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[20] Yang. </w:t>
      </w:r>
      <w:r>
        <w:rPr>
          <w:rFonts w:ascii="Calibri" w:hAnsi="Calibri" w:eastAsia="PingFang SC"/>
          <w:i/>
          <w:sz w:val="15"/>
        </w:rPr>
        <w:t>Self-Aware Recursively Self-Improving Agents for Personal Singularity</w:t>
      </w:r>
      <w:r>
        <w:rPr>
          <w:rFonts w:ascii="Calibri" w:hAnsi="Calibri" w:eastAsia="PingFang SC"/>
          <w:sz w:val="15"/>
        </w:rPr>
        <w:t>. arXiv:2607.12254,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[21] Mao et al. </w:t>
      </w:r>
      <w:r>
        <w:rPr>
          <w:rFonts w:ascii="Calibri" w:hAnsi="Calibri" w:eastAsia="PingFang SC"/>
          <w:i/>
          <w:sz w:val="15"/>
        </w:rPr>
        <w:t>Agents Don't Just Agree, They Remember: Benchmarking Persistent Sycophancy in Stateful Personal Agents</w:t>
      </w:r>
      <w:r>
        <w:rPr>
          <w:rFonts w:ascii="Calibri" w:hAnsi="Calibri" w:eastAsia="PingFang SC"/>
          <w:sz w:val="15"/>
        </w:rPr>
        <w:t>. arXiv:2607.10526,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[22] Yang et al. </w:t>
      </w:r>
      <w:r>
        <w:rPr>
          <w:rFonts w:ascii="Calibri" w:hAnsi="Calibri" w:eastAsia="PingFang SC"/>
          <w:i/>
          <w:sz w:val="15"/>
        </w:rPr>
        <w:t>APeB: Benchmarking Personalization Ability of Large Language Model Agents</w:t>
      </w:r>
      <w:r>
        <w:rPr>
          <w:rFonts w:ascii="Calibri" w:hAnsi="Calibri" w:eastAsia="PingFang SC"/>
          <w:sz w:val="15"/>
        </w:rPr>
        <w:t>. arXiv:2607.03162,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[23] Salemi et al. </w:t>
      </w:r>
      <w:r>
        <w:rPr>
          <w:rFonts w:ascii="Calibri" w:hAnsi="Calibri" w:eastAsia="PingFang SC"/>
          <w:i/>
          <w:sz w:val="15"/>
        </w:rPr>
        <w:t>LaMP: When Large Language Models Meet Personalization</w:t>
      </w:r>
      <w:r>
        <w:rPr>
          <w:rFonts w:ascii="Calibri" w:hAnsi="Calibri" w:eastAsia="PingFang SC"/>
          <w:sz w:val="15"/>
        </w:rPr>
        <w:t xml:space="preserve">. ACL, 2024.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https://aclanthology.org/2024.acl-long.399/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[24] Zhao et al. </w:t>
      </w:r>
      <w:r>
        <w:rPr>
          <w:rFonts w:ascii="Calibri" w:hAnsi="Calibri" w:eastAsia="PingFang SC"/>
          <w:i/>
          <w:sz w:val="15"/>
        </w:rPr>
        <w:t>PersonaLens: A Benchmark for Personalization Evaluation in Conversational AI Assistants</w:t>
      </w:r>
      <w:r>
        <w:rPr>
          <w:rFonts w:ascii="Calibri" w:hAnsi="Calibri" w:eastAsia="PingFang SC"/>
          <w:sz w:val="15"/>
        </w:rPr>
        <w:t xml:space="preserve">. Findings of ACL, 2025.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https://aclanthology.org/2025.findings-acl.927/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[25] Hao et al. </w:t>
      </w:r>
      <w:r>
        <w:rPr>
          <w:rFonts w:ascii="Calibri" w:hAnsi="Calibri" w:eastAsia="PingFang SC"/>
          <w:i/>
          <w:sz w:val="15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5"/>
        </w:rPr>
        <w:t xml:space="preserve">. ACL, 2025.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[26] Jiang et al. </w:t>
      </w:r>
      <w:r>
        <w:rPr>
          <w:rFonts w:ascii="Calibri" w:hAnsi="Calibri" w:eastAsia="PingFang SC"/>
          <w:i/>
          <w:sz w:val="15"/>
        </w:rPr>
        <w:t>Know Me, Respond to Me: Benchmarking LLMs for Dynamic User Profiling and Personalized Responses at Scale</w:t>
      </w:r>
      <w:r>
        <w:rPr>
          <w:rFonts w:ascii="Calibri" w:hAnsi="Calibri" w:eastAsia="PingFang SC"/>
          <w:sz w:val="15"/>
        </w:rPr>
        <w:t>. arXiv:2504.14225,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[27] Li et al. </w:t>
      </w:r>
      <w:r>
        <w:rPr>
          <w:rFonts w:ascii="Calibri" w:hAnsi="Calibri" w:eastAsia="PingFang SC"/>
          <w:i/>
          <w:sz w:val="15"/>
        </w:rPr>
        <w:t>Personalized Deep Research: A User-Centric Framework, Dataset, and Hybrid Evaluation for Knowledge Discovery</w:t>
      </w:r>
      <w:r>
        <w:rPr>
          <w:rFonts w:ascii="Calibri" w:hAnsi="Calibri" w:eastAsia="PingFang SC"/>
          <w:sz w:val="15"/>
        </w:rPr>
        <w:t>. arXiv:2605.10530,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[28] Balepur et al. </w:t>
      </w:r>
      <w:r>
        <w:rPr>
          <w:rFonts w:ascii="Calibri" w:hAnsi="Calibri" w:eastAsia="PingFang SC"/>
          <w:i/>
          <w:sz w:val="15"/>
        </w:rPr>
        <w:t>Language Models Don't Know What You Want: Evaluating Personalization in Deep Research Needs Real Users</w:t>
      </w:r>
      <w:r>
        <w:rPr>
          <w:rFonts w:ascii="Calibri" w:hAnsi="Calibri" w:eastAsia="PingFang SC"/>
          <w:sz w:val="15"/>
        </w:rPr>
        <w:t xml:space="preserve">. ACL, 2026.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[29] Liang et al. </w:t>
      </w:r>
      <w:r>
        <w:rPr>
          <w:rFonts w:ascii="Calibri" w:hAnsi="Calibri" w:eastAsia="PingFang SC"/>
          <w:i/>
          <w:sz w:val="15"/>
        </w:rPr>
        <w:t>Learning Personalized Agents from Human Feedback</w:t>
      </w:r>
      <w:r>
        <w:rPr>
          <w:rFonts w:ascii="Calibri" w:hAnsi="Calibri" w:eastAsia="PingFang SC"/>
          <w:sz w:val="15"/>
        </w:rPr>
        <w:t>. arXiv:2602.16173,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[30] Shen et al. </w:t>
      </w:r>
      <w:r>
        <w:rPr>
          <w:rFonts w:ascii="Calibri" w:hAnsi="Calibri" w:eastAsia="PingFang SC"/>
          <w:i/>
          <w:sz w:val="15"/>
        </w:rPr>
        <w:t>Mem2ActBench: A Benchmark for Evaluating Long-Term Memory Utilization in Task-Oriented Autonomous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[31] Guo et al. </w:t>
      </w:r>
      <w:r>
        <w:rPr>
          <w:rFonts w:ascii="Calibri" w:hAnsi="Calibri" w:eastAsia="PingFang SC"/>
          <w:i/>
          <w:sz w:val="15"/>
        </w:rPr>
        <w:t>When Personalization Legitimizes Risks: Uncovering Safety Vulnerabilities in Personalized Dialogue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https://aclanthology.org/2026.acl-long.1260/</w:t>
        </w:r>
      </w:hyperlink>
    </w:p>
    <w:sectPr w:rsidR="00FC693F" w:rsidRPr="0006063C" w:rsidSect="00034616">
      <w:headerReference w:type="default" r:id="rId33"/>
      <w:footerReference w:type="default" r:id="rId34"/>
      <w:pgSz w:w="12240" w:h="15840"/>
      <w:pgMar w:top="1152" w:right="1152" w:bottom="1152" w:left="115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clanthology.org/2024.acl-long.399/" TargetMode="External"/><Relationship Id="rId12" Type="http://schemas.openxmlformats.org/officeDocument/2006/relationships/hyperlink" Target="https://aclanthology.org/2025.findings-acl.927/" TargetMode="External"/><Relationship Id="rId13" Type="http://schemas.openxmlformats.org/officeDocument/2006/relationships/hyperlink" Target="https://aclanthology.org/2025.acl-long.1064/" TargetMode="External"/><Relationship Id="rId14" Type="http://schemas.openxmlformats.org/officeDocument/2006/relationships/hyperlink" Target="https://arxiv.org/abs/2504.14225" TargetMode="External"/><Relationship Id="rId15" Type="http://schemas.openxmlformats.org/officeDocument/2006/relationships/hyperlink" Target="https://arxiv.org/abs/2605.10530" TargetMode="External"/><Relationship Id="rId16" Type="http://schemas.openxmlformats.org/officeDocument/2006/relationships/hyperlink" Target="https://aclanthology.org/2026.acl-long.723/" TargetMode="External"/><Relationship Id="rId17" Type="http://schemas.openxmlformats.org/officeDocument/2006/relationships/hyperlink" Target="https://arxiv.org/abs/2510.14240" TargetMode="External"/><Relationship Id="rId18" Type="http://schemas.openxmlformats.org/officeDocument/2006/relationships/hyperlink" Target="https://openai.com/index/paperbench/" TargetMode="External"/><Relationship Id="rId19" Type="http://schemas.openxmlformats.org/officeDocument/2006/relationships/hyperlink" Target="https://arxiv.org/abs/2605.19276" TargetMode="External"/><Relationship Id="rId20" Type="http://schemas.openxmlformats.org/officeDocument/2006/relationships/hyperlink" Target="https://evalscope.readthedocs.io/en/refact_readme/get_started/introduction.html" TargetMode="External"/><Relationship Id="rId21" Type="http://schemas.openxmlformats.org/officeDocument/2006/relationships/hyperlink" Target="https://arxiv.org/abs/2607.27056" TargetMode="External"/><Relationship Id="rId22" Type="http://schemas.openxmlformats.org/officeDocument/2006/relationships/hyperlink" Target="https://arxiv.org/abs/2607.20482" TargetMode="External"/><Relationship Id="rId23" Type="http://schemas.openxmlformats.org/officeDocument/2006/relationships/hyperlink" Target="https://arxiv.org/abs/2607.03162" TargetMode="External"/><Relationship Id="rId24" Type="http://schemas.openxmlformats.org/officeDocument/2006/relationships/hyperlink" Target="https://aclanthology.org/2026.acl-long.370/" TargetMode="External"/><Relationship Id="rId25" Type="http://schemas.openxmlformats.org/officeDocument/2006/relationships/hyperlink" Target="https://arxiv.org/abs/2607.15948" TargetMode="External"/><Relationship Id="rId26" Type="http://schemas.openxmlformats.org/officeDocument/2006/relationships/hyperlink" Target="https://arxiv.org/abs/2602.16173" TargetMode="External"/><Relationship Id="rId27" Type="http://schemas.openxmlformats.org/officeDocument/2006/relationships/hyperlink" Target="https://arxiv.org/abs/2607.10526" TargetMode="External"/><Relationship Id="rId28" Type="http://schemas.openxmlformats.org/officeDocument/2006/relationships/hyperlink" Target="https://aclanthology.org/2026.acl-long.1260/" TargetMode="External"/><Relationship Id="rId29" Type="http://schemas.openxmlformats.org/officeDocument/2006/relationships/hyperlink" Target="https://arxiv.org/abs/2509.25106" TargetMode="External"/><Relationship Id="rId30" Type="http://schemas.openxmlformats.org/officeDocument/2006/relationships/header" Target="header2.xml"/><Relationship Id="rId31" Type="http://schemas.openxmlformats.org/officeDocument/2006/relationships/footer" Target="footer2.xml"/><Relationship Id="rId32" Type="http://schemas.openxmlformats.org/officeDocument/2006/relationships/image" Target="media/image1.png"/><Relationship Id="rId33" Type="http://schemas.openxmlformats.org/officeDocument/2006/relationships/header" Target="header3.xml"/><Relationship Id="rId3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