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CONDENSED RESEARCH PROPOSAL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ElicitAlign-Bench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从缺失用户信息到个性化交付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正式论文 Proposal 精简版 · 约 10 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v0.45 · 正式精简版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8 月 12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Natural · Nudge · No-Ask · Oracle · Final Delivery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不提醒 agent 先澄清，测它是否自主发现、问对、停对并把用户回答真正落实到最终交付。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rFonts w:ascii="Calibri" w:hAnsi="Calibri" w:eastAsia="PingFang SC"/>
        </w:rPr>
        <w:t>现有个性化 Deep Research benchmark 多在 persona 或用户上下文已经给出的情况下评价报告。现实用户却常漏掉预算、风险、使用情境或决策标准。问题因此不只是“模型会不会使用 persona”，还包括：它是否会在没有提醒时意识到缺了哪些会改变答案的用户信息，提出必要问题，知道何时停止，并把回答落实到最终交付物。</w:t>
      </w:r>
    </w:p>
    <w:p>
      <w:r>
        <w:rPr>
          <w:rFonts w:ascii="Calibri" w:hAnsi="Calibri" w:eastAsia="PingFang SC"/>
        </w:rPr>
        <w:t>这一问题已有强近邻。IDRBench 测 interactive Deep Research 的收益与成本；IntentRL 训练主动澄清；DiscoBench 测深度搜索中的歧义发现和路径恢复；G-STEER 已直接研究个性化 Deep Research 的 Retrieve/Ask/Stop 与下游报告质量。</w:t>
      </w:r>
      <w:hyperlink r:id="rId11">
        <w:r>
          <w:rPr>
            <w:rFonts w:ascii="Calibri" w:hAnsi="Calibri" w:eastAsia="PingFang SC"/>
            <w:color w:val="2E74B5"/>
            <w:u w:val="single"/>
          </w:rPr>
          <w:t>1</w:t>
        </w:r>
      </w:hyperlink>
      <w:r>
        <w:rPr>
          <w:rFonts w:ascii="Calibri" w:hAnsi="Calibri" w:eastAsia="PingFang SC"/>
        </w:rPr>
        <w:t xml:space="preserve"> </w:t>
      </w:r>
      <w:hyperlink r:id="rId12">
        <w:r>
          <w:rPr>
            <w:rFonts w:ascii="Calibri" w:hAnsi="Calibri" w:eastAsia="PingFang SC"/>
            <w:color w:val="2E74B5"/>
            <w:u w:val="single"/>
          </w:rPr>
          <w:t>2</w:t>
        </w:r>
      </w:hyperlink>
      <w:r>
        <w:rPr>
          <w:rFonts w:ascii="Calibri" w:hAnsi="Calibri" w:eastAsia="PingFang SC"/>
        </w:rPr>
        <w:t xml:space="preserve"> </w:t>
      </w:r>
      <w:hyperlink r:id="rId13">
        <w:r>
          <w:rPr>
            <w:rFonts w:ascii="Calibri" w:hAnsi="Calibri" w:eastAsia="PingFang SC"/>
            <w:color w:val="2E74B5"/>
            <w:u w:val="single"/>
          </w:rPr>
          <w:t>3</w:t>
        </w:r>
      </w:hyperlink>
      <w:r>
        <w:rPr>
          <w:rFonts w:ascii="Calibri" w:hAnsi="Calibri" w:eastAsia="PingFang SC"/>
        </w:rPr>
        <w:t xml:space="preserve"> </w:t>
      </w:r>
      <w:hyperlink r:id="rId14">
        <w:r>
          <w:rPr>
            <w:rFonts w:ascii="Calibri" w:hAnsi="Calibri" w:eastAsia="PingFang SC"/>
            <w:color w:val="2E74B5"/>
            <w:u w:val="single"/>
          </w:rPr>
          <w:t>4</w:t>
        </w:r>
      </w:hyperlink>
      <w:r>
        <w:rPr>
          <w:rFonts w:ascii="Calibri" w:hAnsi="Calibri" w:eastAsia="PingFang SC"/>
        </w:rPr>
        <w:t xml:space="preserve"> 因此 ElicitAlign-Bench 不声称首次研究 clarification，而测试一个更窄、仍待实证证明的新问题：</w:t>
      </w:r>
      <w:r>
        <w:rPr>
          <w:rFonts w:ascii="Calibri" w:hAnsi="Calibri" w:eastAsia="PingFang SC"/>
          <w:b/>
        </w:rPr>
        <w:t>在没有显式 persona、没有澄清提醒、任务仍可被泛化执行时，通用 agent 能否自主恢复决策相关用户状态，并把它正确用于最终个性化交付。</w:t>
      </w:r>
    </w:p>
    <w:p>
      <w:r>
        <w:rPr>
          <w:rFonts w:ascii="Calibri" w:hAnsi="Calibri" w:eastAsia="PingFang SC"/>
        </w:rPr>
        <w:t>Benchmark 以 paired user task family 为单位，设置 Natural-Interactive、Nudge-Interactive、No-Ask 和 Full-Persona Oracle 四条件，并加入信息充分与无关缺失负对照。主结果不是单一差值，而是 need detection、targeted elicitation、stopping、utilization、最终效用、共同质量、负担和边界组成的非补偿 profile。若 pilot 不能产生 Natural/Oracle 排名重排或 G-STEER/IDRBench 未覆盖的诊断，本方向停止。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ElicitAlign-Bench 端到端研究设计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ElicitAlign-Bench 研究流程：从 case/task metadata、隐藏 user-state ledger 与自然欠指定输入，到四条件交互、最终交付评分和 novelty-kill gate。" title="ElicitAlign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citAlign-Bench_端到端流程图_v0.4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自然欠指定输入经四条件交互与 Deep Research 执行后，以轨迹和最终交付的非补偿 profile 评价。</w:t>
      </w:r>
    </w:p>
    <w:p>
      <w:pPr>
        <w:sectPr>
          <w:headerReference w:type="default" r:id="rId15"/>
          <w:footerReference w:type="default" r:id="rId16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1. 核心研究问题</w:t>
      </w:r>
    </w:p>
    <w:p>
      <w:pPr>
        <w:pStyle w:val="ListBullet"/>
      </w:pPr>
      <w:r>
        <w:rPr>
          <w:rFonts w:ascii="Calibri" w:hAnsi="Calibri" w:eastAsia="PingFang SC"/>
        </w:rPr>
        <w:t>在自然欠指定 instruction 下，agent 会不会自行发起必要澄清？</w:t>
      </w:r>
    </w:p>
    <w:p>
      <w:pPr>
        <w:pStyle w:val="ListBullet"/>
      </w:pPr>
      <w:r>
        <w:rPr>
          <w:rFonts w:ascii="Calibri" w:hAnsi="Calibri" w:eastAsia="PingFang SC"/>
        </w:rPr>
        <w:t>它问的是会改变最终决策的变量，还是无关人物背景？</w:t>
      </w:r>
    </w:p>
    <w:p>
      <w:pPr>
        <w:pStyle w:val="ListBullet"/>
      </w:pPr>
      <w:r>
        <w:rPr>
          <w:rFonts w:ascii="Calibri" w:hAnsi="Calibri" w:eastAsia="PingFang SC"/>
        </w:rPr>
        <w:t>关键变量解决后能否停止，并在任务充分时避免过问？</w:t>
      </w:r>
    </w:p>
    <w:p>
      <w:pPr>
        <w:pStyle w:val="ListBullet"/>
      </w:pPr>
      <w:r>
        <w:rPr>
          <w:rFonts w:ascii="Calibri" w:hAnsi="Calibri" w:eastAsia="PingFang SC"/>
        </w:rPr>
        <w:t>用户回答是否真正改变搜索、比较标准和最终建议？</w:t>
      </w:r>
    </w:p>
    <w:p>
      <w:pPr>
        <w:pStyle w:val="ListBullet"/>
      </w:pPr>
      <w:r>
        <w:rPr>
          <w:rFonts w:ascii="Calibri" w:hAnsi="Calibri" w:eastAsia="PingFang SC"/>
        </w:rPr>
        <w:t>Full-Persona、Nudge 与 Natural 条件是否给出不同系统排名？</w:t>
      </w:r>
    </w:p>
    <w:p>
      <w:r>
        <w:rPr>
          <w:rFonts w:ascii="Calibri" w:hAnsi="Calibri" w:eastAsia="PingFang SC"/>
        </w:rPr>
        <w:t>可观察主张仅限于“自主用户状态发现与利用行为”，不推断模型真正关心或理解用户。</w:t>
      </w:r>
    </w:p>
    <w:p>
      <w:pPr>
        <w:pStyle w:val="Heading1"/>
      </w:pPr>
      <w:r>
        <w:t>2. Case、Task 与用户真值</w:t>
      </w:r>
    </w:p>
    <w:p>
      <w:r>
        <w:rPr>
          <w:rFonts w:ascii="Calibri" w:hAnsi="Calibri" w:eastAsia="PingFang SC"/>
        </w:rPr>
        <w:t>一个 task family 固定共同任务、证据、工具、预算与交付格式，配对两位在 2–4 个决策相关变量上不同的用户。首选真实参与者提供 task shell 和 user-state；最小反事实用户必须由第二位目标人群参与者验证。纯 LLM persona 只用于 smoke test。</w:t>
      </w:r>
    </w:p>
    <w:p>
      <w:r>
        <w:rPr>
          <w:rFonts w:ascii="Calibri" w:hAnsi="Calibri" w:eastAsia="PingFang SC"/>
        </w:rPr>
        <w:t>每个 case 包含：</w:t>
      </w:r>
    </w:p>
    <w:p>
      <w:pPr>
        <w:pStyle w:val="ListBullet"/>
      </w:pPr>
      <w:r>
        <w:rPr>
          <w:rFonts w:ascii="Calibri" w:hAnsi="Calibri" w:eastAsia="PingFang SC"/>
          <w:b/>
        </w:rPr>
        <w:t>Case metadata：</w:t>
      </w:r>
      <w:r>
        <w:rPr>
          <w:rFonts w:ascii="Calibri" w:hAnsi="Calibri" w:eastAsia="PingFang SC"/>
        </w:rPr>
        <w:t xml:space="preserve"> family、来源、版本、领域、风险、审核和冻结记录；</w:t>
      </w:r>
    </w:p>
    <w:p>
      <w:pPr>
        <w:pStyle w:val="ListBullet"/>
      </w:pPr>
      <w:r>
        <w:rPr>
          <w:rFonts w:ascii="Calibri" w:hAnsi="Calibri" w:eastAsia="PingFang SC"/>
          <w:b/>
        </w:rPr>
        <w:t>Task metadata：</w:t>
      </w:r>
      <w:r>
        <w:rPr>
          <w:rFonts w:ascii="Calibri" w:hAnsi="Calibri" w:eastAsia="PingFang SC"/>
        </w:rPr>
        <w:t xml:space="preserve"> research intent、使用情境、交付物、证据依赖、时效性、工具预算、共同事实核心；</w:t>
      </w:r>
    </w:p>
    <w:p>
      <w:pPr>
        <w:pStyle w:val="ListBullet"/>
      </w:pPr>
      <w:r>
        <w:rPr>
          <w:rFonts w:ascii="Calibri" w:hAnsi="Calibri" w:eastAsia="PingFang SC"/>
          <w:b/>
        </w:rPr>
        <w:t>Hidden user-state ledger：</w:t>
      </w:r>
      <w:r>
        <w:rPr>
          <w:rFonts w:ascii="Calibri" w:hAnsi="Calibri" w:eastAsia="PingFang SC"/>
        </w:rPr>
        <w:t xml:space="preserve"> 字段值、来源、敏感度、可询问性、决策相关性和影响节点；</w:t>
      </w:r>
    </w:p>
    <w:p>
      <w:pPr>
        <w:pStyle w:val="ListBullet"/>
      </w:pPr>
      <w:r>
        <w:rPr>
          <w:rFonts w:ascii="Calibri" w:hAnsi="Calibri" w:eastAsia="PingFang SC"/>
          <w:b/>
        </w:rPr>
        <w:t>Underspecification metadata：</w:t>
      </w:r>
      <w:r>
        <w:rPr>
          <w:rFonts w:ascii="Calibri" w:hAnsi="Calibri" w:eastAsia="PingFang SC"/>
        </w:rPr>
        <w:t xml:space="preserve"> 删除了什么、critical/irrelevant/none、可由什么问题恢复；</w:t>
      </w:r>
    </w:p>
    <w:p>
      <w:pPr>
        <w:pStyle w:val="ListBullet"/>
      </w:pPr>
      <w:r>
        <w:rPr>
          <w:rFonts w:ascii="Calibri" w:hAnsi="Calibri" w:eastAsia="PingFang SC"/>
          <w:b/>
        </w:rPr>
        <w:t>Evaluation contracts：</w:t>
      </w:r>
      <w:r>
        <w:rPr>
          <w:rFonts w:ascii="Calibri" w:hAnsi="Calibri" w:eastAsia="PingFang SC"/>
        </w:rPr>
        <w:t xml:space="preserve"> must-change、must-hold、must-not。</w:t>
      </w:r>
    </w:p>
    <w:p>
      <w:r>
        <w:rPr>
          <w:rFonts w:ascii="Calibri" w:hAnsi="Calibri" w:eastAsia="PingFang SC"/>
        </w:rPr>
        <w:t>研究构念由两名标注员独立标注并仲裁。LLM 可预填但不是真值。运行后难度和失败类型另存，不能反改预先标签。</w:t>
      </w:r>
    </w:p>
    <w:p>
      <w:pPr>
        <w:pStyle w:val="Heading1"/>
      </w:pPr>
      <w:r>
        <w:t>3. 四条件实验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cantSplit/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条件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输入与交互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识别目标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C0 Natural-Interactive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欠指定自然 instruction；可问；无任何澄清提醒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自主发现与行动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C1 Nudge-Interactive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同一 instruction；提醒“必要时可澄清”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被提示后的可执行能力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C2 No-Ask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同一 instruction；禁止询问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通用回答下限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C3 Full-Persona Oracle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提供完整、已验证的相关 ledger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已知用户信息时的上限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</w:rPr>
        <w:t>主比较 C0−C2 测自主交互收益；C1−C0 测自主触发缺口；C3−C0 测距离完整 persona 上限的缺口。C3 不是参考答案，仍须接受同一事实、质量和用户适配评分。</w:t>
      </w:r>
    </w:p>
    <w:p>
      <w:r>
        <w:rPr>
          <w:rFonts w:ascii="Calibri" w:hAnsi="Calibri" w:eastAsia="PingFang SC"/>
        </w:rPr>
        <w:t>正式集不能只选“多数模型明显会问”的任务，否则会按模型行为筛题。数据先按人类决策逻辑冻结，并同时覆盖 obvious critical、subtle critical、sufficient 和 irrelevant-missing。</w:t>
      </w:r>
    </w:p>
    <w:p>
      <w:pPr>
        <w:pStyle w:val="Heading1"/>
      </w:pPr>
      <w:r>
        <w:t>4. 交互与用户模拟</w:t>
      </w:r>
    </w:p>
    <w:p>
      <w:r>
        <w:rPr>
          <w:rFonts w:ascii="Calibri" w:hAnsi="Calibri" w:eastAsia="PingFang SC"/>
        </w:rPr>
        <w:t>用户模拟器读取隐藏 ledger，但只回答 agent 实际询问的内容，不主动泄露、不给下一问题提示、不复制 rubric。每个问题映射到 ledger node，并记录回答是否完整、拒绝或需要重述。</w:t>
      </w:r>
    </w:p>
    <w:p>
      <w:r>
        <w:rPr>
          <w:rFonts w:ascii="Calibri" w:hAnsi="Calibri" w:eastAsia="PingFang SC"/>
        </w:rPr>
        <w:t>至少 20% case 由真实用户重放，比较模拟器与本人回答一致率、问题自然性/必要性以及系统排序。若真人与模拟器导致相反结论，模拟主榜降为开发诊断。</w:t>
      </w:r>
    </w:p>
    <w:p>
      <w:pPr>
        <w:pStyle w:val="Heading1"/>
      </w:pPr>
      <w:r>
        <w:t>5. 评分与统计</w:t>
      </w:r>
    </w:p>
    <w:p>
      <w:pPr>
        <w:pStyle w:val="Heading2"/>
      </w:pPr>
      <w:r>
        <w:t>5.1 轨迹层</w:t>
      </w:r>
    </w:p>
    <w:p>
      <w:pPr>
        <w:pStyle w:val="ListBullet"/>
      </w:pPr>
      <w:r>
        <w:rPr>
          <w:rFonts w:ascii="Calibri" w:hAnsi="Calibri" w:eastAsia="PingFang SC"/>
        </w:rPr>
        <w:t>Need Detection sensitivity / specificity / macro-F1；</w:t>
      </w:r>
    </w:p>
    <w:p>
      <w:pPr>
        <w:pStyle w:val="ListBullet"/>
      </w:pPr>
      <w:r>
        <w:rPr>
          <w:rFonts w:ascii="Calibri" w:hAnsi="Calibri" w:eastAsia="PingFang SC"/>
        </w:rPr>
        <w:t>关键节点 Elicitation Recall 与 Question Precision；</w:t>
      </w:r>
    </w:p>
    <w:p>
      <w:pPr>
        <w:pStyle w:val="ListBullet"/>
      </w:pPr>
      <w:r>
        <w:rPr>
          <w:rFonts w:ascii="Calibri" w:hAnsi="Calibri" w:eastAsia="PingFang SC"/>
        </w:rPr>
        <w:t>每轮解决的加权决策节点；</w:t>
      </w:r>
    </w:p>
    <w:p>
      <w:pPr>
        <w:pStyle w:val="ListBullet"/>
      </w:pPr>
      <w:r>
        <w:rPr>
          <w:rFonts w:ascii="Calibri" w:hAnsi="Calibri" w:eastAsia="PingFang SC"/>
        </w:rPr>
        <w:t>停止时是否仍有会改变建议的 unresolved node；</w:t>
      </w:r>
    </w:p>
    <w:p>
      <w:pPr>
        <w:pStyle w:val="ListBullet"/>
      </w:pPr>
      <w:r>
        <w:rPr>
          <w:rFonts w:ascii="Calibri" w:hAnsi="Calibri" w:eastAsia="PingFang SC"/>
        </w:rPr>
        <w:t>轮数、用户 token、重复、等待时间；</w:t>
      </w:r>
    </w:p>
    <w:p>
      <w:pPr>
        <w:pStyle w:val="ListBullet"/>
      </w:pPr>
      <w:r>
        <w:rPr>
          <w:rFonts w:ascii="Calibri" w:hAnsi="Calibri" w:eastAsia="PingFang SC"/>
        </w:rPr>
        <w:t>敏感提问、越权推断和拒答后追问违规。</w:t>
      </w:r>
    </w:p>
    <w:p>
      <w:pPr>
        <w:pStyle w:val="Heading2"/>
      </w:pPr>
      <w:r>
        <w:t>5.2 交付层</w:t>
      </w:r>
    </w:p>
    <w:p>
      <w:pPr>
        <w:pStyle w:val="ListBullet"/>
      </w:pPr>
      <w:r>
        <w:rPr>
          <w:rFonts w:ascii="Calibri" w:hAnsi="Calibri" w:eastAsia="PingFang SC"/>
        </w:rPr>
        <w:t>Absolute Adequacy；</w:t>
      </w:r>
    </w:p>
    <w:p>
      <w:pPr>
        <w:pStyle w:val="ListBullet"/>
      </w:pPr>
      <w:r>
        <w:rPr>
          <w:rFonts w:ascii="Calibri" w:hAnsi="Calibri" w:eastAsia="PingFang SC"/>
        </w:rPr>
        <w:t>must-change / must-hold / must-not compliance；</w:t>
      </w:r>
    </w:p>
    <w:p>
      <w:pPr>
        <w:pStyle w:val="ListBullet"/>
      </w:pPr>
      <w:r>
        <w:rPr>
          <w:rFonts w:ascii="Calibri" w:hAnsi="Calibri" w:eastAsia="PingFang SC"/>
        </w:rPr>
        <w:t>common quality 与 factual reliability non-inferiority；</w:t>
      </w:r>
    </w:p>
    <w:p>
      <w:pPr>
        <w:pStyle w:val="ListBullet"/>
      </w:pPr>
      <w:r>
        <w:rPr>
          <w:rFonts w:ascii="Calibri" w:hAnsi="Calibri" w:eastAsia="PingFang SC"/>
        </w:rPr>
        <w:t>目标用户效用与硬约束违规；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asked → answered → plan → report → changed decision</w:t>
      </w:r>
      <w:r>
        <w:rPr>
          <w:rFonts w:ascii="Calibri" w:hAnsi="Calibri" w:eastAsia="PingFang SC"/>
        </w:rPr>
        <w:t xml:space="preserve"> 的逐节点 utilization trace。</w:t>
      </w:r>
    </w:p>
    <w:p>
      <w:pPr>
        <w:pStyle w:val="Heading2"/>
      </w:pPr>
      <w:r>
        <w:t>5.3 效应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SelfInitiatedGain = U_Natural - U_NoAsk</w:t>
        <w:br/>
        <w:t>NudgeGap          = U_Nudge - U_Natural</w:t>
        <w:br/>
        <w:t>OracleGap         = U_Oracle - U_Natural</w:t>
      </w:r>
    </w:p>
    <w:p>
      <w:r>
        <w:rPr>
          <w:rFonts w:ascii="Calibri" w:hAnsi="Calibri" w:eastAsia="PingFang SC"/>
        </w:rPr>
        <w:t xml:space="preserve">所有差值必须与四个 arm 的绝对分同时报告。Natural 未通过 adequacy 时，不能因 No-Ask 更差而宣称成功。OracleRecovery 只作次级描述，且仅在 </w:t>
      </w:r>
      <w:r>
        <w:rPr>
          <w:rFonts w:ascii="Courier New" w:hAnsi="Courier New" w:eastAsia="PingFang SC"/>
          <w:color w:val="6A3E00"/>
          <w:sz w:val="20"/>
        </w:rPr>
        <w:t>U_Oracle - U_NoAsk &gt; ε</w:t>
      </w:r>
      <w:r>
        <w:rPr>
          <w:rFonts w:ascii="Calibri" w:hAnsi="Calibri" w:eastAsia="PingFang SC"/>
        </w:rPr>
        <w:t xml:space="preserve"> 时计算。</w:t>
      </w:r>
    </w:p>
    <w:p>
      <w:r>
        <w:rPr>
          <w:rFonts w:ascii="Calibri" w:hAnsi="Calibri" w:eastAsia="PingFang SC"/>
        </w:rPr>
        <w:t>同一 family 内的用户、条件和随机种子相关；统计单位为 family。主分析使用 family-blocked permutation 与 family-cluster bootstrap，报告 family-level paired effects 和分布。</w:t>
      </w:r>
    </w:p>
    <w:p>
      <w:pPr>
        <w:pStyle w:val="Heading1"/>
      </w:pPr>
      <w:r>
        <w:t>6. 最近邻与真正的论文风险</w:t>
      </w:r>
    </w:p>
    <w:p>
      <w:r>
        <w:rPr>
          <w:rFonts w:ascii="Calibri" w:hAnsi="Calibri" w:eastAsia="PingFang SC"/>
        </w:rPr>
        <w:t>PDR-Bench 已解决显式 persona 条件下的报告适配；IDRBench 已解决交互 DR 的收益/成本；IntentRL 与 DiscoBench 已解决主动澄清的重要部分；G-STEER 与本方向最接近，甚至已把 personalized framing factor、Ask/Stop、问题负担和下游 P/Q 连在一起。</w:t>
      </w:r>
      <w:hyperlink r:id="rId20">
        <w:r>
          <w:rPr>
            <w:rFonts w:ascii="Calibri" w:hAnsi="Calibri" w:eastAsia="PingFang SC"/>
            <w:color w:val="2E74B5"/>
            <w:u w:val="single"/>
          </w:rPr>
          <w:t>5</w:t>
        </w:r>
      </w:hyperlink>
    </w:p>
    <w:p>
      <w:r>
        <w:rPr>
          <w:rFonts w:ascii="Calibri" w:hAnsi="Calibri" w:eastAsia="PingFang SC"/>
        </w:rPr>
        <w:t>因此最大审稿风险是“G-STEER 的 benchmark 化”。防守不能靠换名，而要靠四类实证证据：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无静态 profile、无提醒的 natural condition 暴露不同能力；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paired real-user ledger 与 contracts 能证明问题答案应如何改变最终交付；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sufficient controls 揭示过问与隐私成本；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Full-Persona 与 Natural 发生稳定排名重排，或出现“会问但不会用”的独立失败。</w:t>
      </w:r>
    </w:p>
    <w:p>
      <w:r>
        <w:rPr>
          <w:rFonts w:ascii="Calibri" w:hAnsi="Calibri" w:eastAsia="PingFang SC"/>
        </w:rPr>
        <w:t>如果这些结果不出现，就不应把本方向包装成独立 ICLR benchmark。</w:t>
      </w:r>
    </w:p>
    <w:p>
      <w:pPr>
        <w:pStyle w:val="Heading1"/>
      </w:pPr>
      <w:r>
        <w:t>7. Pilot、规模与成功门</w:t>
      </w:r>
    </w:p>
    <w:p>
      <w:r>
        <w:rPr>
          <w:rFonts w:ascii="Calibri" w:hAnsi="Calibri" w:eastAsia="PingFang SC"/>
        </w:rPr>
        <w:t>Pilot 使用 3 个 family（知识库采购、国际家庭旅行、研究工具选型），4–6 个系统，四条件和四类 case。LLM 先生成任务与用户，再由研究者逐条验证自然性、决策影响、可询问性和无泄漏。</w:t>
      </w:r>
    </w:p>
    <w:p>
      <w:r>
        <w:rPr>
          <w:rFonts w:ascii="Calibri" w:hAnsi="Calibri" w:eastAsia="PingFang SC"/>
        </w:rPr>
        <w:t>继续扩到 24 family 的条件：至少两个 family 出现四条件有意义分离；至少一个模型发生 Full-Persona/Natural 排名变化或稳定 utilization failure；充分任务不过问；人工 contract 评分一致；成本可承受。</w:t>
      </w:r>
    </w:p>
    <w:p>
      <w:r>
        <w:rPr>
          <w:rFonts w:ascii="Calibri" w:hAnsi="Calibri" w:eastAsia="PingFang SC"/>
        </w:rPr>
        <w:t>单个系统只有同时通过以下五门，才算成功：需要时问、不需要时不问；Natural 比 No-Ask 有真实收益；Natural 达到绝对 adequacy；共同质量无伤害；无隐私/权限违规且获取信息确实改变了应改变的节点。</w:t>
      </w:r>
    </w:p>
    <w:p>
      <w:pPr>
        <w:pStyle w:val="Heading1"/>
      </w:pPr>
      <w:r>
        <w:t>8. 八周计划与预期贡献</w:t>
      </w:r>
    </w:p>
    <w:p>
      <w:r>
        <w:rPr>
          <w:rFonts w:ascii="Calibri" w:hAnsi="Calibri" w:eastAsia="PingFang SC"/>
        </w:rPr>
        <w:t>第 1–2 周完成 3-family novelty-kill pilot；第 3 周作继续/停止决策；第 4–5 周扩建并冻结 24 family；第 6 周主实验和真人重放；第 7 周 judge 校准、消融和近邻对照；第 8 周论文与复现包。</w:t>
      </w:r>
    </w:p>
    <w:p>
      <w:r>
        <w:rPr>
          <w:rFonts w:ascii="Calibri" w:hAnsi="Calibri" w:eastAsia="PingFang SC"/>
        </w:rPr>
        <w:t>若通过，贡献是：自然欠指定的 paired-user benchmark；Natural/Nudge/No-Ask/Oracle 四条件能力分解；从问题到最终交付物的可追溯非补偿评价。不能声称首次 clarification、首次 interactive DR 或模型真正理解用户。</w:t>
      </w:r>
    </w:p>
    <w:p>
      <w:pPr>
        <w:sectPr>
          <w:headerReference w:type="default" r:id="rId18"/>
          <w:footerReference w:type="default" r:id="rId19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>
      <w:pPr>
        <w:pStyle w:val="Heading1"/>
      </w:pPr>
      <w:r>
        <w:t>参考文献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[1] </w:t>
      </w:r>
      <w:hyperlink r:id="rId11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IDRBench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[2] </w:t>
      </w:r>
      <w:hyperlink r:id="rId12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IntentRL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[3] </w:t>
      </w:r>
      <w:hyperlink r:id="rId13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DiscoBench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[4] </w:t>
      </w:r>
      <w:hyperlink r:id="rId14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G-STEER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[5] </w:t>
      </w:r>
      <w:hyperlink r:id="rId20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PDR-Bench</w:t>
        </w:r>
      </w:hyperlink>
      <w:r>
        <w:rPr>
          <w:rFonts w:ascii="Calibri" w:hAnsi="Calibri" w:eastAsia="PingFang SC"/>
          <w:sz w:val="15"/>
        </w:rPr>
        <w:t>. ICLR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[6] </w:t>
      </w:r>
      <w:hyperlink r:id="rId21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Ask Early, Ask Late, Ask Right</w:t>
        </w:r>
      </w:hyperlink>
      <w:r>
        <w:rPr>
          <w:rFonts w:ascii="Calibri" w:hAnsi="Calibri" w:eastAsia="PingFang SC"/>
          <w:sz w:val="15"/>
        </w:rPr>
        <w:t>. 2026.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[7] </w:t>
      </w:r>
      <w:hyperlink r:id="rId22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Ask-before-Plan</w:t>
        </w:r>
      </w:hyperlink>
      <w:r>
        <w:rPr>
          <w:rFonts w:ascii="Calibri" w:hAnsi="Calibri" w:eastAsia="PingFang SC"/>
          <w:sz w:val="15"/>
        </w:rPr>
        <w:t>. 2024.</w:t>
      </w:r>
    </w:p>
    <w:p>
      <w:pPr>
        <w:spacing w:after="0" w:line="228" w:lineRule="auto"/>
        <w:ind w:left="360" w:hanging="360"/>
      </w:pPr>
      <w:r>
        <w:rPr>
          <w:rFonts w:ascii="Calibri" w:hAnsi="Calibri" w:eastAsia="PingFang SC"/>
          <w:sz w:val="15"/>
        </w:rPr>
        <w:t xml:space="preserve">[8] </w:t>
      </w:r>
      <w:hyperlink r:id="rId23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Tell Me More!</w:t>
        </w:r>
      </w:hyperlink>
      <w:r>
        <w:rPr>
          <w:rFonts w:ascii="Calibri" w:hAnsi="Calibri" w:eastAsia="PingFang SC"/>
          <w:sz w:val="15"/>
        </w:rPr>
        <w:t>. 2024.</w:t>
      </w:r>
    </w:p>
    <w:p>
      <w:pPr>
        <w:pStyle w:val="Heading1"/>
      </w:pPr>
      <w:r>
        <w:t>AI 辅助说明</w:t>
      </w:r>
    </w:p>
    <w:p>
      <w:r>
        <w:rPr>
          <w:rFonts w:ascii="Calibri" w:hAnsi="Calibri" w:eastAsia="PingFang SC"/>
        </w:rPr>
        <w:t>AI 工具用于文献检索、结构化和文档生成。正式数据中的用户状态、研究构念、rubric 和评分必须由作者与参与者核验。</w:t>
      </w:r>
    </w:p>
    <w:sectPr w:rsidR="00FC693F" w:rsidRPr="0006063C" w:rsidSect="00034616">
      <w:type w:val="continuous"/>
      <w:pgSz w:w="12240" w:h="15840"/>
      <w:pgMar w:top="1080" w:right="1080" w:bottom="1080" w:left="1080" w:header="708" w:footer="708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ELICITALIGN-BENCH  ·  正式 PROPOSAL 精简版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ELICITALIGN-BENCH  ·  正式 PROPOSAL 精简版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ELICITALIGN-BENCH  ·  正式 PROPOSAL 精简版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  <w:jc w:val="left"/>
    </w:pPr>
    <w:rPr>
      <w:rFonts w:ascii="Calibri" w:hAnsi="Calibri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ind w:left="540" w:hanging="279"/>
      <w:contextualSpacing/>
    </w:pPr>
    <w:rPr>
      <w:rFonts w:ascii="Calibri" w:hAnsi="Calibri" w:eastAsia="PingFang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52" w:lineRule="auto"/>
      <w:ind w:left="540" w:hanging="279"/>
      <w:contextualSpacing/>
    </w:pPr>
    <w:rPr>
      <w:rFonts w:ascii="Calibri" w:hAnsi="Calibri" w:eastAsia="PingFang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601.06676" TargetMode="External"/><Relationship Id="rId12" Type="http://schemas.openxmlformats.org/officeDocument/2006/relationships/hyperlink" Target="https://arxiv.org/abs/2602.03468" TargetMode="External"/><Relationship Id="rId13" Type="http://schemas.openxmlformats.org/officeDocument/2006/relationships/hyperlink" Target="https://arxiv.org/abs/2606.27669" TargetMode="External"/><Relationship Id="rId14" Type="http://schemas.openxmlformats.org/officeDocument/2006/relationships/hyperlink" Target="https://arxiv.org/abs/2608.05876" TargetMode="Externa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image" Target="media/image1.png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20" Type="http://schemas.openxmlformats.org/officeDocument/2006/relationships/hyperlink" Target="https://arxiv.org/abs/2509.25106" TargetMode="External"/><Relationship Id="rId21" Type="http://schemas.openxmlformats.org/officeDocument/2006/relationships/hyperlink" Target="https://arxiv.org/abs/2605.07937" TargetMode="External"/><Relationship Id="rId22" Type="http://schemas.openxmlformats.org/officeDocument/2006/relationships/hyperlink" Target="https://aclanthology.org/2024.findings-emnlp.632/" TargetMode="External"/><Relationship Id="rId23" Type="http://schemas.openxmlformats.org/officeDocument/2006/relationships/hyperlink" Target="https://aclanthology.org/2024.acl-long.6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