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ADVISOR BRIEF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ElicitAlign-Bench｜汇报精简版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15–20 分钟讲清新方向、最近邻风险和最小实验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导师汇报 · 组会讲解 · 决策讨论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v0.45 · 汇报精简版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自然输入 → 自主发现 → 澄清 → 交付 → 否决门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PDR-Bench 问 persona 给出后会不会用；ElicitAlign-Bench 问没有 persona 和提醒时会不会自己找出来并用对。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大框架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四条件能力分解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 和 metadata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主条件与筛题原则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最近邻压力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最小实验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八周与决策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建议讲法：2 分钟问题、4 分钟数据、4 分钟实验与指标、3 分钟 Judge、3 分钟风险和导师决策。</w:t>
      </w:r>
    </w:p>
    <w:p>
      <w:r>
        <w:br w:type="page"/>
      </w:r>
    </w:p>
    <w:p>
      <w:pPr>
        <w:pStyle w:val="Heading1"/>
      </w:pPr>
      <w:r>
        <w:t>研究概要</w:t>
      </w:r>
    </w:p>
    <w:p>
      <w:r>
        <w:rPr>
          <w:rFonts w:ascii="Calibri" w:hAnsi="Calibri" w:eastAsia="PingFang SC"/>
          <w:b/>
        </w:rPr>
        <w:t>一句话：</w:t>
      </w:r>
      <w:r>
        <w:rPr>
          <w:rFonts w:ascii="Calibri" w:hAnsi="Calibri" w:eastAsia="PingFang SC"/>
        </w:rPr>
        <w:t xml:space="preserve"> 用户没把关键个性化信息说全时，agent 会不会在没有提醒的情况下自己发现、问对、问够，然后把答案真正落实到 Deep Research 交付物？</w:t>
      </w:r>
    </w:p>
    <w:p>
      <w:r>
        <w:rPr>
          <w:rFonts w:ascii="Calibri" w:hAnsi="Calibri" w:eastAsia="PingFang SC"/>
        </w:rPr>
        <w:t>这不是简单的 when-to-ask。IDRBench、IntentRL、DiscoBench 和最新 G-STEER 已覆盖交互、主动澄清、搜索歧义和个性化研究 Ask/Stop。</w:t>
      </w:r>
      <w:hyperlink r:id="rId11">
        <w:r>
          <w:rPr>
            <w:rFonts w:ascii="Calibri" w:hAnsi="Calibri" w:eastAsia="PingFang SC"/>
            <w:color w:val="2E74B5"/>
            <w:u w:val="single"/>
          </w:rPr>
          <w:t>1</w:t>
        </w:r>
      </w:hyperlink>
      <w:r>
        <w:rPr>
          <w:rFonts w:ascii="Calibri" w:hAnsi="Calibri" w:eastAsia="PingFang SC"/>
        </w:rPr>
        <w:t xml:space="preserve"> </w:t>
      </w:r>
      <w:hyperlink r:id="rId12">
        <w:r>
          <w:rPr>
            <w:rFonts w:ascii="Calibri" w:hAnsi="Calibri" w:eastAsia="PingFang SC"/>
            <w:color w:val="2E74B5"/>
            <w:u w:val="single"/>
          </w:rPr>
          <w:t>2</w:t>
        </w:r>
      </w:hyperlink>
      <w:r>
        <w:rPr>
          <w:rFonts w:ascii="Calibri" w:hAnsi="Calibri" w:eastAsia="PingFang SC"/>
        </w:rPr>
        <w:t xml:space="preserve"> </w:t>
      </w:r>
      <w:hyperlink r:id="rId13">
        <w:r>
          <w:rPr>
            <w:rFonts w:ascii="Calibri" w:hAnsi="Calibri" w:eastAsia="PingFang SC"/>
            <w:color w:val="2E74B5"/>
            <w:u w:val="single"/>
          </w:rPr>
          <w:t>3</w:t>
        </w:r>
      </w:hyperlink>
      <w:r>
        <w:rPr>
          <w:rFonts w:ascii="Calibri" w:hAnsi="Calibri" w:eastAsia="PingFang SC"/>
        </w:rPr>
        <w:t xml:space="preserve"> </w:t>
      </w:r>
      <w:hyperlink r:id="rId14">
        <w:r>
          <w:rPr>
            <w:rFonts w:ascii="Calibri" w:hAnsi="Calibri" w:eastAsia="PingFang SC"/>
            <w:color w:val="2E74B5"/>
            <w:u w:val="single"/>
          </w:rPr>
          <w:t>4</w:t>
        </w:r>
      </w:hyperlink>
      <w:r>
        <w:rPr>
          <w:rFonts w:ascii="Calibri" w:hAnsi="Calibri" w:eastAsia="PingFang SC"/>
        </w:rPr>
        <w:t xml:space="preserve"> 新方向能否成立，取决于它是否用“无 persona、无提醒、paired real users、完整 persona oracle、充分信息负对照和最终利用追踪”发现已有指标看不到的系统差异。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ElicitAlign-Bench：一张图讲完评测流程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ElicitAlign-Bench 研究流程：从 case/task metadata、隐藏 user-state ledger 与自然欠指定输入，到四条件交互、最终交付评分和 novelty-kill gate。" title="Elicit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citAlign-Bench_端到端流程图_v0.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从隐藏 user ledger 和自然欠指定输入，到四条件能力分解、交付评分与论文生死门。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大框架</w:t>
      </w:r>
    </w:p>
    <w:p>
      <w:r>
        <w:rPr>
          <w:rFonts w:ascii="Calibri" w:hAnsi="Calibri" w:eastAsia="PingFang SC"/>
        </w:rPr>
        <w:t>输入不是完整 persona，而是一个足够生成通用报告、却缺少 1–3 个决策相关用户条件的自然 instruction。隐藏真值是 user-state ledger。Agent 可以直接执行，也可以主动问。用户回答后，agent 继续搜索并交付报告。</w:t>
      </w:r>
    </w:p>
    <w:p>
      <w:r>
        <w:rPr>
          <w:rFonts w:ascii="Calibri" w:hAnsi="Calibri" w:eastAsia="PingFang SC"/>
        </w:rPr>
        <w:t>Benchmark 不只看问题好不好，而追踪：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发现缺口 → 提问 → 获得事实 → 知道何时停止 → 用进计划 → 改变最终建议</w:t>
      </w:r>
    </w:p>
    <w:p>
      <w:pPr>
        <w:pStyle w:val="Heading1"/>
      </w:pPr>
      <w:r>
        <w:t>2. 四条件能力分解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条件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测什么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Natural-Interactive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没提醒时会不会自主问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Nudge-Interactive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被提醒后是否具备执行能力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No-Ask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不问时的通用回答下限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Full-Persona Oracle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信息全给时的表现上限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Natural−No-Ask 是自主询问收益；Nudge−Natural 是主动触发缺口；Oracle−Natural 是剩余信息恢复与利用缺口。四个绝对分必须同时报告，不能只看差值。</w:t>
      </w:r>
    </w:p>
    <w:p>
      <w:pPr>
        <w:pStyle w:val="Heading1"/>
      </w:pPr>
      <w:r>
        <w:t>3. Case 和 metadata</w:t>
      </w:r>
    </w:p>
    <w:p>
      <w:r>
        <w:rPr>
          <w:rFonts w:ascii="Calibri" w:hAnsi="Calibri" w:eastAsia="PingFang SC"/>
        </w:rPr>
        <w:t>每个 family 固定 task/evidence/tools/budget/output，配对两位只在 2–4 个关键决策条件上不同的用户。Case 包括：case metadata、task metadata、隐藏 user ledger、欠指定记录、must-change/must-hold/must-not contracts、环境与运行版本。</w:t>
      </w:r>
    </w:p>
    <w:p>
      <w:r>
        <w:rPr>
          <w:rFonts w:ascii="Calibri" w:hAnsi="Calibri" w:eastAsia="PingFang SC"/>
        </w:rPr>
        <w:t>Formal 数据首选真实用户。LLM persona 只跑 smoke test。研究构念双人标注仲裁，pilot 结果不能反改任务标签。</w:t>
      </w:r>
    </w:p>
    <w:p>
      <w:pPr>
        <w:pStyle w:val="Heading1"/>
      </w:pPr>
      <w:r>
        <w:t>4. 为什么主条件不提醒，也不筛“都会问”的题</w:t>
      </w:r>
    </w:p>
    <w:p>
      <w:r>
        <w:rPr>
          <w:rFonts w:ascii="Calibri" w:hAnsi="Calibri" w:eastAsia="PingFang SC"/>
        </w:rPr>
        <w:t>提醒会把主动发现变成 prompt compliance，所以只放在 Nudge 诊断条件。按模型是否会问来筛题会造成选择偏差。任务必须先由人类决策逻辑冻结，并包含 obvious critical、subtle critical、sufficient、irrelevant-missing 四类。</w:t>
      </w:r>
    </w:p>
    <w:p>
      <w:pPr>
        <w:pStyle w:val="Heading1"/>
      </w:pPr>
      <w:r>
        <w:t>5. 评分</w:t>
      </w:r>
    </w:p>
    <w:p>
      <w:r>
        <w:rPr>
          <w:rFonts w:ascii="Calibri" w:hAnsi="Calibri" w:eastAsia="PingFang SC"/>
        </w:rPr>
        <w:t>轨迹层：Need Detection、Elicitation Recall、Question Precision、Information Gain/Turn、Stopping、Burden、Privacy/Permission。 交付层：Absolute Adequacy、must-change/must-hold/must-not、共同质量、事实可靠性、目标用户效用。 利用链：</w:t>
      </w:r>
      <w:r>
        <w:rPr>
          <w:rFonts w:ascii="Courier New" w:hAnsi="Courier New" w:eastAsia="PingFang SC"/>
          <w:color w:val="6A3E00"/>
          <w:sz w:val="20"/>
        </w:rPr>
        <w:t>asked → answered → plan → report → changed decision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只有需要时问、不需要时不问；Natural 比 No-Ask 有收益；绝对质量合格；共同质量无伤害；无边界违规；且事实真的改变交付，才算成功。</w:t>
      </w:r>
    </w:p>
    <w:p>
      <w:pPr>
        <w:pStyle w:val="Heading1"/>
      </w:pPr>
      <w:r>
        <w:t>6. 最近邻压力</w:t>
      </w:r>
    </w:p>
    <w:p>
      <w:r>
        <w:rPr>
          <w:rFonts w:ascii="Calibri" w:hAnsi="Calibri" w:eastAsia="PingFang SC"/>
        </w:rPr>
        <w:t>最危险 reviewer 评价：</w:t>
      </w:r>
      <w:r>
        <w:rPr>
          <w:rFonts w:ascii="Calibri" w:hAnsi="Calibri" w:eastAsia="PingFang SC"/>
          <w:b/>
        </w:rPr>
        <w:t>“这是 G-STEER 的 benchmark 化。”</w:t>
      </w:r>
    </w:p>
    <w:p>
      <w:r>
        <w:rPr>
          <w:rFonts w:ascii="Calibri" w:hAnsi="Calibri" w:eastAsia="PingFang SC"/>
        </w:rPr>
        <w:t>必须用结果回答，而不是靠措辞：</w:t>
      </w:r>
    </w:p>
    <w:p>
      <w:pPr>
        <w:pStyle w:val="ListBullet"/>
      </w:pPr>
      <w:r>
        <w:rPr>
          <w:rFonts w:ascii="Calibri" w:hAnsi="Calibri" w:eastAsia="PingFang SC"/>
        </w:rPr>
        <w:t>Natural 与 Full-Persona 是否造成模型排名重排？</w:t>
      </w:r>
    </w:p>
    <w:p>
      <w:pPr>
        <w:pStyle w:val="ListBullet"/>
      </w:pPr>
      <w:r>
        <w:rPr>
          <w:rFonts w:ascii="Calibri" w:hAnsi="Calibri" w:eastAsia="PingFang SC"/>
        </w:rPr>
        <w:t>是否有系统问得好但用不好？</w:t>
      </w:r>
    </w:p>
    <w:p>
      <w:pPr>
        <w:pStyle w:val="ListBullet"/>
      </w:pPr>
      <w:r>
        <w:rPr>
          <w:rFonts w:ascii="Calibri" w:hAnsi="Calibri" w:eastAsia="PingFang SC"/>
        </w:rPr>
        <w:t>sufficient controls 是否揭示高分系统过问或触碰敏感信息？</w:t>
      </w:r>
    </w:p>
    <w:p>
      <w:pPr>
        <w:pStyle w:val="ListBullet"/>
      </w:pPr>
      <w:r>
        <w:rPr>
          <w:rFonts w:ascii="Calibri" w:hAnsi="Calibri" w:eastAsia="PingFang SC"/>
        </w:rPr>
        <w:t>paired real-user contracts 是否发现 P/Q 或 target coverage 看不到的错误？</w:t>
      </w:r>
    </w:p>
    <w:p>
      <w:r>
        <w:rPr>
          <w:rFonts w:ascii="Calibri" w:hAnsi="Calibri" w:eastAsia="PingFang SC"/>
        </w:rPr>
        <w:t>若都没有，停止这个方向。</w:t>
      </w:r>
    </w:p>
    <w:p>
      <w:pPr>
        <w:pStyle w:val="Heading1"/>
      </w:pPr>
      <w:r>
        <w:t>7. 最小实验</w:t>
      </w:r>
    </w:p>
    <w:p>
      <w:r>
        <w:rPr>
          <w:rFonts w:ascii="Calibri" w:hAnsi="Calibri" w:eastAsia="PingFang SC"/>
        </w:rPr>
        <w:t>3 family：团队知识库采购、国际家庭旅行、研究工具选型。每个 family 两位用户、四类 case、四条件、4–6 个系统。LLM 先造任务/persona，由研究者逐条确认自然性与决策影响。</w:t>
      </w:r>
    </w:p>
    <w:p>
      <w:r>
        <w:rPr>
          <w:rFonts w:ascii="Calibri" w:hAnsi="Calibri" w:eastAsia="PingFang SC"/>
        </w:rPr>
        <w:t>继续门：至少两个 family 出现四条件分离；至少一个系统发生 Oracle/Natural 排名变化或稳定 utilization failure；充分任务不过问；人工评分一致；成本可扩至 24 family。</w:t>
      </w:r>
    </w:p>
    <w:p>
      <w:pPr>
        <w:pStyle w:val="Heading1"/>
      </w:pPr>
      <w:r>
        <w:t>8. 八周与决策</w:t>
      </w:r>
    </w:p>
    <w:p>
      <w:r>
        <w:rPr>
          <w:rFonts w:ascii="Calibri" w:hAnsi="Calibri" w:eastAsia="PingFang SC"/>
        </w:rPr>
        <w:t>第 1–2 周跑 novelty-kill pilot；第 3 周决定继续/收窄/换题；第 4–5 周建 24 family；第 6 周主实验和真人重放；第 7 周校准与近邻对照；第 8 周论文与复现包。</w:t>
      </w:r>
    </w:p>
    <w:p>
      <w:r>
        <w:rPr>
          <w:rFonts w:ascii="Calibri" w:hAnsi="Calibri" w:eastAsia="PingFang SC"/>
        </w:rPr>
        <w:t>当前建议：可以做最小实验，但还不应承诺这是最终 ICLR 题目。先让它通过 G-STEER / IDRBench 正面对照和排名重排门。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[1] </w:t>
      </w:r>
      <w:hyperlink r:id="rId1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IDRBench</w:t>
        </w:r>
      </w:hyperlink>
      <w:r>
        <w:rPr>
          <w:rFonts w:ascii="Calibri" w:hAnsi="Calibri" w:eastAsia="PingFang SC"/>
          <w:sz w:val="14"/>
        </w:rPr>
        <w:t xml:space="preserve"> · [2] </w:t>
      </w:r>
      <w:hyperlink r:id="rId1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IntentRL</w:t>
        </w:r>
      </w:hyperlink>
      <w:r>
        <w:rPr>
          <w:rFonts w:ascii="Calibri" w:hAnsi="Calibri" w:eastAsia="PingFang SC"/>
          <w:sz w:val="14"/>
        </w:rPr>
        <w:t xml:space="preserve"> · [3] </w:t>
      </w:r>
      <w:hyperlink r:id="rId1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DiscoBench</w:t>
        </w:r>
      </w:hyperlink>
      <w:r>
        <w:rPr>
          <w:rFonts w:ascii="Calibri" w:hAnsi="Calibri" w:eastAsia="PingFang SC"/>
          <w:sz w:val="14"/>
        </w:rPr>
        <w:t xml:space="preserve"> · [4] </w:t>
      </w:r>
      <w:hyperlink r:id="rId1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G-STEER</w:t>
        </w:r>
      </w:hyperlink>
      <w:r>
        <w:rPr>
          <w:rFonts w:ascii="Calibri" w:hAnsi="Calibri" w:eastAsia="PingFang SC"/>
          <w:sz w:val="14"/>
        </w:rPr>
        <w:t xml:space="preserve"> · [5] </w:t>
      </w:r>
      <w:hyperlink r:id="rId20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PDR-Bench</w:t>
        </w:r>
      </w:hyperlink>
    </w:p>
    <w:p>
      <w:pPr>
        <w:pStyle w:val="Heading1"/>
      </w:pPr>
      <w:r>
        <w:t>AI 辅助说明</w:t>
      </w:r>
    </w:p>
    <w:p>
      <w:r>
        <w:rPr>
          <w:rFonts w:ascii="Calibri" w:hAnsi="Calibri" w:eastAsia="PingFang SC"/>
        </w:rPr>
        <w:t>AI 工具用于检索、结构化与排版；研究真值和结论需人工核验。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汇报精简版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汇报精简版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汇报精简版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  <w:jc w:val="left"/>
    </w:pPr>
    <w:rPr>
      <w:rFonts w:ascii="Calibri" w:hAnsi="Calibri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1.06676" TargetMode="External"/><Relationship Id="rId12" Type="http://schemas.openxmlformats.org/officeDocument/2006/relationships/hyperlink" Target="https://arxiv.org/abs/2602.03468" TargetMode="External"/><Relationship Id="rId13" Type="http://schemas.openxmlformats.org/officeDocument/2006/relationships/hyperlink" Target="https://arxiv.org/abs/2606.27669" TargetMode="External"/><Relationship Id="rId14" Type="http://schemas.openxmlformats.org/officeDocument/2006/relationships/hyperlink" Target="https://arxiv.org/abs/2608.05876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1.pn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hyperlink" Target="https://arxiv.org/abs/2509.25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