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v0.17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不是测报告写得多漂亮，而是测同一任务下，agent 能不能把正确结果交给正确用户。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已有工作分别测“报告好不好”、用户理解、历史利用、单域个性化效用和持久状态风险。我们要补的是交叉缺口：</w:t>
      </w:r>
      <w:r>
        <w:rPr>
          <w:rFonts w:ascii="Calibri" w:hAnsi="Calibri" w:eastAsia="PingFang SC"/>
          <w:b/>
        </w:rPr>
        <w:t>同一任务和证据下，agent 能不能为不同用户交付不同但都正确的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Setoka、PersonaTrail/APeB、TARS、PASB 和 temporal-intervention 工作已经分别覆盖“理解—利用—单域效用—持久风险—时间更新”的一段；[9-12][14][15] SARSI 提供受治理的 personal-agent 架构。[13] PDR-Bench 已把 persona 引入 Deep Research。[3] 缺少的是把异构用户信号、广义 DR 交付物、matched/swapped 交换和长程干预放进同一协议。给模型 persona 后分数提高，仍可能只是 prompt/报告更长、复述了 persona，或 judge 偏爱更具体的文本。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swapped，同时事实和共同质量不下降，才算真正个性化。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输出，加关键失败仲裁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296" w:right="1296" w:bottom="1296" w:left="1296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判断真正个性化。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所有 anchor 都有 clean + persona swap + irrelevant-signal 配对；冲突/过期、context dilution、agent handoff、动态更新按预注册适用性分配。Re-anchor 是恢复干预，不是攻击类型；固定子集无论是否先失败都重跑，避免高估恢复收益。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correctness、recovery gain；同时报告 TQ、事实性、隐私和长度副作用。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排除篇幅和 persona 复述等替代解释；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差异不能写成“更多任务和更多 agent”。真正差异是：反事实识别、用户信息来源多元、动态/长程测试、模块化 rubric、独立 judge benchmark，以及明确区分测试意图和观察到的真实失败。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Atlas、反事实识别和 rubric compiler 是核心贡献，而不是“测尽所有组合”？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[1] OpenCompass Team. </w:t>
      </w:r>
      <w:r>
        <w:rPr>
          <w:rFonts w:ascii="Calibri" w:hAnsi="Calibri" w:eastAsia="PingFang SC"/>
          <w:i/>
          <w:sz w:val="18"/>
        </w:rPr>
        <w:t>OpenCompass: A Universal Evaluation Platform for Large Language Models</w:t>
      </w:r>
      <w:r>
        <w:rPr>
          <w:rFonts w:ascii="Calibri" w:hAnsi="Calibri" w:eastAsia="PingFang SC"/>
          <w:sz w:val="18"/>
        </w:rPr>
        <w:t>. 2026.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[2] Zhang et al. </w:t>
      </w:r>
      <w:r>
        <w:rPr>
          <w:rFonts w:ascii="Calibri" w:hAnsi="Calibri" w:eastAsia="PingFang SC"/>
          <w:i/>
          <w:sz w:val="18"/>
        </w:rPr>
        <w:t>Agent-SafetyBench</w:t>
      </w:r>
      <w:r>
        <w:rPr>
          <w:rFonts w:ascii="Calibri" w:hAnsi="Calibri" w:eastAsia="PingFang SC"/>
          <w:sz w:val="18"/>
        </w:rPr>
        <w:t>. arXiv:2412.14470.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[3] </w:t>
      </w:r>
      <w:r>
        <w:rPr>
          <w:rFonts w:ascii="Calibri" w:hAnsi="Calibri" w:eastAsia="PingFang SC"/>
          <w:i/>
          <w:sz w:val="18"/>
        </w:rPr>
        <w:t>Towards Personalized Deep Research: Benchmarks and Evaluations</w:t>
      </w:r>
      <w:r>
        <w:rPr>
          <w:rFonts w:ascii="Calibri" w:hAnsi="Calibri" w:eastAsia="PingFang SC"/>
          <w:sz w:val="18"/>
        </w:rPr>
        <w:t>. arXiv:2509.25106.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[4] Wang et al. </w:t>
      </w:r>
      <w:r>
        <w:rPr>
          <w:rFonts w:ascii="Calibri" w:hAnsi="Calibri" w:eastAsia="PingFang SC"/>
          <w:i/>
          <w:sz w:val="18"/>
        </w:rPr>
        <w:t>LiveResearchBench</w:t>
      </w:r>
      <w:r>
        <w:rPr>
          <w:rFonts w:ascii="Calibri" w:hAnsi="Calibri" w:eastAsia="PingFang SC"/>
          <w:sz w:val="18"/>
        </w:rPr>
        <w:t>. arXiv:2510.14240.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[5] Sharma et al. </w:t>
      </w:r>
      <w:r>
        <w:rPr>
          <w:rFonts w:ascii="Calibri" w:hAnsi="Calibri" w:eastAsia="PingFang SC"/>
          <w:i/>
          <w:sz w:val="18"/>
        </w:rPr>
        <w:t>ResearchRubrics</w:t>
      </w:r>
      <w:r>
        <w:rPr>
          <w:rFonts w:ascii="Calibri" w:hAnsi="Calibri" w:eastAsia="PingFang SC"/>
          <w:sz w:val="18"/>
        </w:rPr>
        <w:t>. arXiv:2511.07685.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[6] Liang et al. </w:t>
      </w:r>
      <w:r>
        <w:rPr>
          <w:rFonts w:ascii="Calibri" w:hAnsi="Calibri" w:eastAsia="PingFang SC"/>
          <w:i/>
          <w:sz w:val="18"/>
        </w:rPr>
        <w:t>HELM</w:t>
      </w:r>
      <w:r>
        <w:rPr>
          <w:rFonts w:ascii="Calibri" w:hAnsi="Calibri" w:eastAsia="PingFang SC"/>
          <w:sz w:val="18"/>
        </w:rPr>
        <w:t>. TMLR, 2023.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[7] Ribeiro et al. </w:t>
      </w:r>
      <w:r>
        <w:rPr>
          <w:rFonts w:ascii="Calibri" w:hAnsi="Calibri" w:eastAsia="PingFang SC"/>
          <w:i/>
          <w:sz w:val="18"/>
        </w:rPr>
        <w:t>CheckList</w:t>
      </w:r>
      <w:r>
        <w:rPr>
          <w:rFonts w:ascii="Calibri" w:hAnsi="Calibri" w:eastAsia="PingFang SC"/>
          <w:sz w:val="18"/>
        </w:rPr>
        <w:t>. ACL, 2020.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[8] Reuel et al. </w:t>
      </w:r>
      <w:r>
        <w:rPr>
          <w:rFonts w:ascii="Calibri" w:hAnsi="Calibri" w:eastAsia="PingFang SC"/>
          <w:i/>
          <w:sz w:val="18"/>
        </w:rPr>
        <w:t>BetterBench</w:t>
      </w:r>
      <w:r>
        <w:rPr>
          <w:rFonts w:ascii="Calibri" w:hAnsi="Calibri" w:eastAsia="PingFang SC"/>
          <w:sz w:val="18"/>
        </w:rPr>
        <w:t>. arXiv:2411.12990.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[9] Zeng et al. </w:t>
      </w:r>
      <w:r>
        <w:rPr>
          <w:rFonts w:ascii="Calibri" w:hAnsi="Calibri" w:eastAsia="PingFang SC"/>
          <w:i/>
          <w:sz w:val="18"/>
        </w:rPr>
        <w:t>Setoka</w:t>
      </w:r>
      <w:r>
        <w:rPr>
          <w:rFonts w:ascii="Calibri" w:hAnsi="Calibri" w:eastAsia="PingFang SC"/>
          <w:sz w:val="18"/>
        </w:rPr>
        <w:t>. arXiv:2607.27056.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[10] Qian et al. </w:t>
      </w:r>
      <w:r>
        <w:rPr>
          <w:rFonts w:ascii="Calibri" w:hAnsi="Calibri" w:eastAsia="PingFang SC"/>
          <w:i/>
          <w:sz w:val="18"/>
        </w:rPr>
        <w:t>User-Conditioned Evaluation under Temporal Interventions</w:t>
      </w:r>
      <w:r>
        <w:rPr>
          <w:rFonts w:ascii="Calibri" w:hAnsi="Calibri" w:eastAsia="PingFang SC"/>
          <w:sz w:val="18"/>
        </w:rPr>
        <w:t>. arXiv:2607.21635.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[11] Yang et al. </w:t>
      </w:r>
      <w:r>
        <w:rPr>
          <w:rFonts w:ascii="Calibri" w:hAnsi="Calibri" w:eastAsia="PingFang SC"/>
          <w:i/>
          <w:sz w:val="18"/>
        </w:rPr>
        <w:t>PersonaTrail</w:t>
      </w:r>
      <w:r>
        <w:rPr>
          <w:rFonts w:ascii="Calibri" w:hAnsi="Calibri" w:eastAsia="PingFang SC"/>
          <w:sz w:val="18"/>
        </w:rPr>
        <w:t>. arXiv:2607.20482.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[12] Todisco et al. </w:t>
      </w:r>
      <w:r>
        <w:rPr>
          <w:rFonts w:ascii="Calibri" w:hAnsi="Calibri" w:eastAsia="PingFang SC"/>
          <w:i/>
          <w:sz w:val="18"/>
        </w:rPr>
        <w:t>TARS</w:t>
      </w:r>
      <w:r>
        <w:rPr>
          <w:rFonts w:ascii="Calibri" w:hAnsi="Calibri" w:eastAsia="PingFang SC"/>
          <w:sz w:val="18"/>
        </w:rPr>
        <w:t>. arXiv:2607.15948.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[13] Yang. </w:t>
      </w:r>
      <w:r>
        <w:rPr>
          <w:rFonts w:ascii="Calibri" w:hAnsi="Calibri" w:eastAsia="PingFang SC"/>
          <w:i/>
          <w:sz w:val="18"/>
        </w:rPr>
        <w:t>SARSI Agents for Personal Singularity</w:t>
      </w:r>
      <w:r>
        <w:rPr>
          <w:rFonts w:ascii="Calibri" w:hAnsi="Calibri" w:eastAsia="PingFang SC"/>
          <w:sz w:val="18"/>
        </w:rPr>
        <w:t>. arXiv:2607.12254.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[14] Mao et al. </w:t>
      </w:r>
      <w:r>
        <w:rPr>
          <w:rFonts w:ascii="Calibri" w:hAnsi="Calibri" w:eastAsia="PingFang SC"/>
          <w:i/>
          <w:sz w:val="18"/>
        </w:rPr>
        <w:t>Agents Don't Just Agree, They Remember</w:t>
      </w:r>
      <w:r>
        <w:rPr>
          <w:rFonts w:ascii="Calibri" w:hAnsi="Calibri" w:eastAsia="PingFang SC"/>
          <w:sz w:val="18"/>
        </w:rPr>
        <w:t>. arXiv:2607.10526.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[15] Yang et al. </w:t>
      </w:r>
      <w:r>
        <w:rPr>
          <w:rFonts w:ascii="Calibri" w:hAnsi="Calibri" w:eastAsia="PingFang SC"/>
          <w:i/>
          <w:sz w:val="18"/>
        </w:rPr>
        <w:t>APeB</w:t>
      </w:r>
      <w:r>
        <w:rPr>
          <w:rFonts w:ascii="Calibri" w:hAnsi="Calibri" w:eastAsia="PingFang SC"/>
          <w:sz w:val="18"/>
        </w:rPr>
        <w:t>. arXiv:2607.03162.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  <w:jc w:val="left"/>
    </w:pPr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