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CONDENSED RESEARCH PROPOSAL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DeepAlign-Bench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长程 Deep Research 智能体个性化最终交付物评测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正式论文 Proposal 精简版 · 约 10 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v0.17 · 正式精简版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8 月 2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Problem · Research Questions · Method · Evaluation · Validity · Timeline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固定任务与证据，只改变用户；用 matched/swapped 对照检验用户特异价值，同时对事实性、共同质量和隐私设置不可补偿门槛。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rFonts w:ascii="Calibri" w:hAnsi="Calibri" w:eastAsia="PingFang SC"/>
        </w:rPr>
        <w:t>现有工作已经分别评价 Deep Research 通用质量、分层用户理解、行为历史利用、单域个性化效用、持久状态安全和时间干预，[5][7][16-22] 但尚未在广义 Deep Research 的多类最终交付物上统一检验“该结果是否对这个用户具有特异价值”。本项目拟构建 DeepAlign-Bench，用于评估长程智能体能否从不同渠道获得与任务相关的用户信息，在执行过程中保持、使用和更新这些信息，并交付必要且正确的用户特异结果。</w:t>
      </w:r>
    </w:p>
    <w:p>
      <w:r>
        <w:rPr>
          <w:rFonts w:ascii="Calibri" w:hAnsi="Calibri" w:eastAsia="PingFang SC"/>
        </w:rPr>
        <w:t>核心方法是反事实任务族：固定任务、证据、工具与资源预算，只改变目标用户；再将两个用户的交付物进行 matched/swapped 交换评分。只有匹配交付物稳定优于错配交付物，且共同任务质量、事实性、安全与隐私不下降时，才认定为有效个性化。评测框架包括五平面元数据、反事实任务族、元数据驱动的 rubric compiler、分层指标和独立 JudgeBench。</w:t>
      </w:r>
    </w:p>
    <w:p>
      <w:r>
        <w:rPr>
          <w:rFonts w:ascii="Calibri" w:hAnsi="Calibri" w:eastAsia="PingFang SC"/>
        </w:rPr>
        <w:t>两个月论文版计划构建 24 个 task family、48 个核心 user-task、4 种用户信息条件和 3 类核心 agent，最多运行 576 个核心 episode；其中 8 个 anchor family 用于错配、无关信息、冲突/过期信息、长上下文稀释和动态更新测试。</w:t>
      </w:r>
    </w:p>
    <w:p>
      <w:pPr>
        <w:pStyle w:val="Heading1"/>
      </w:pPr>
      <w:r>
        <w:t>1. 研究背景与问题</w:t>
      </w:r>
    </w:p>
    <w:p>
      <w:pPr>
        <w:pStyle w:val="Heading2"/>
      </w:pPr>
      <w:r>
        <w:t>1.1 现有评测的不足</w:t>
      </w:r>
    </w:p>
    <w:p>
      <w:r>
        <w:rPr>
          <w:rFonts w:ascii="Calibri" w:hAnsi="Calibri" w:eastAsia="PingFang SC"/>
        </w:rPr>
        <w:t>OpenCompass 和 EvalScope 提供模型适配、任务调度、评估与报告框架，但不定义个性化构念。[1][2] LiveResearchBench、PaperBench 等主要回答任务是否完成、事实与引用是否可靠、报告是否完整。[5][7] 这一层建立了通用能力底线，但评价函数通常不随目标用户改变。</w:t>
      </w:r>
    </w:p>
    <w:p>
      <w:r>
        <w:rPr>
          <w:rFonts w:ascii="Calibri" w:hAnsi="Calibri" w:eastAsia="PingFang SC"/>
        </w:rPr>
        <w:t>2026 年 7 月的工作已经向个性化内部推进：Setoka 从语义事实到人格特质测四层用户理解；[16] PersonaTrail 与 APeB 分别从浏览轨迹和商品行为历史测偏好、情景记忆与意图利用；[18][22] TARS 在代码理解中报告个性化解释对时间、认知负担和主观适配的影响；[19] PASB 让 agent 自主写入持久状态并发现 commit 后下游失败显著增加；[21] Qian 等提出显式时间事件、跨事件持久状态、跨维度影响和用户条件化差异四项要求；[17] SARSI 则给出受治理的 personal-agent 系统架构。[20] 这些工作说明“用户理解、历史利用、时间变化和持久风险无人评测”已经是错误表述。</w:t>
      </w:r>
    </w:p>
    <w:p>
      <w:r>
        <w:rPr>
          <w:rFonts w:ascii="Calibri" w:hAnsi="Calibri" w:eastAsia="PingFang SC"/>
        </w:rPr>
        <w:t>PDR-Bench 最接近本项目：它把真实 persona 引入 Deep Research，但主要比较 task-only、context 和 persona 条件平均分。[4] 现有文献仍缺少同一协议中的四个连接：</w:t>
      </w:r>
      <w:r>
        <w:rPr>
          <w:rFonts w:ascii="Calibri" w:hAnsi="Calibri" w:eastAsia="PingFang SC"/>
          <w:b/>
        </w:rPr>
        <w:t>异构用户信号 → 广义 DR 执行 → 用户特异最终交付物 → 反事实且经校准的评分</w:t>
      </w:r>
      <w:r>
        <w:rPr>
          <w:rFonts w:ascii="Calibri" w:hAnsi="Calibri" w:eastAsia="PingFang SC"/>
        </w:rPr>
        <w:t>。因此尚难排除输入更长、输出更长、persona 关键词、文风偏好或额外任务信息等替代解释。</w:t>
      </w:r>
    </w:p>
    <w:p>
      <w:pPr>
        <w:pStyle w:val="Heading2"/>
      </w:pPr>
      <w:r>
        <w:t>1.2 研究空缺</w:t>
      </w:r>
    </w:p>
    <w:p>
      <w:r>
        <w:rPr>
          <w:rFonts w:ascii="Calibri" w:hAnsi="Calibri" w:eastAsia="PingFang SC"/>
        </w:rPr>
        <w:t>本项目不声称首先研究 personalization、history、persistent state 或 temporal intervention；它解决的是这些方向的交叉测量缺口：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如何证明交付物差异来自用户需求，而不是篇幅、格式或关键词；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如何为报告、代码、表格和决策备忘录使用可组合但不强行统一的 rubric；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如何区分最终交付物效用与获取、保持、利用、更新/恢复等过程机制；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如何验证自动 judge 没有被长度、位置、格式和 persona 关键词误导。</w:t>
      </w:r>
    </w:p>
    <w:p>
      <w:r>
        <w:rPr>
          <w:rFonts w:ascii="Calibri" w:hAnsi="Calibri" w:eastAsia="PingFang SC"/>
        </w:rPr>
        <w:t>可辩护的主张是：在广义 Deep Research 的多类最终交付物上，将异构用户信号、matched/swapped 用户交换、预冻结 must-change/must-hold/must-not 真值、长程干预和独立 JudgeBench 放进同一可审计协议。若 matched/swapped 人评不稳定，或效应可由长度、风格和共同质量解释，论文将收缩为 outcome-centered evaluation study。</w:t>
      </w:r>
    </w:p>
    <w:p>
      <w:pPr>
        <w:pStyle w:val="Heading1"/>
      </w:pPr>
      <w:r>
        <w:t>2. 研究问题与假设</w:t>
      </w:r>
    </w:p>
    <w:p>
      <w:pPr>
        <w:pStyle w:val="Heading2"/>
      </w:pPr>
      <w:r>
        <w:t>2.1 研究问题</w:t>
      </w:r>
    </w:p>
    <w:p>
      <w:pPr>
        <w:pStyle w:val="ListBullet"/>
      </w:pPr>
      <w:r>
        <w:rPr>
          <w:rFonts w:ascii="Calibri" w:hAnsi="Calibri" w:eastAsia="PingFang SC"/>
          <w:b/>
        </w:rPr>
        <w:t>RQ1：反事实适配。</w:t>
      </w:r>
      <w:r>
        <w:rPr>
          <w:rFonts w:ascii="Calibri" w:hAnsi="Calibri" w:eastAsia="PingFang SC"/>
        </w:rPr>
        <w:t xml:space="preserve"> 同一任务和证据下，匹配用户的交付物是否稳定优于错配用户的交付物？</w:t>
      </w:r>
    </w:p>
    <w:p>
      <w:pPr>
        <w:pStyle w:val="ListBullet"/>
      </w:pPr>
      <w:r>
        <w:rPr>
          <w:rFonts w:ascii="Calibri" w:hAnsi="Calibri" w:eastAsia="PingFang SC"/>
          <w:b/>
        </w:rPr>
        <w:t>RQ2：信息渠道。</w:t>
      </w:r>
      <w:r>
        <w:rPr>
          <w:rFonts w:ascii="Calibri" w:hAnsi="Calibri" w:eastAsia="PingFang SC"/>
        </w:rPr>
        <w:t xml:space="preserve"> 结构化 persona、语义等价自然历史、主动澄清和 task-only 条件如何影响个性化效果与误用风险？</w:t>
      </w:r>
    </w:p>
    <w:p>
      <w:pPr>
        <w:pStyle w:val="ListBullet"/>
      </w:pPr>
      <w:r>
        <w:rPr>
          <w:rFonts w:ascii="Calibri" w:hAnsi="Calibri" w:eastAsia="PingFang SC"/>
          <w:b/>
        </w:rPr>
        <w:t>RQ3：长程保持与恢复。</w:t>
      </w:r>
      <w:r>
        <w:rPr>
          <w:rFonts w:ascii="Calibri" w:hAnsi="Calibri" w:eastAsia="PingFang SC"/>
        </w:rPr>
        <w:t xml:space="preserve"> 上下文稀释、信息冲突、agent 交接和用户状态更新是否降低适配，重新锚定能否恢复？</w:t>
      </w:r>
    </w:p>
    <w:p>
      <w:pPr>
        <w:pStyle w:val="ListBullet"/>
      </w:pPr>
      <w:r>
        <w:rPr>
          <w:rFonts w:ascii="Calibri" w:hAnsi="Calibri" w:eastAsia="PingFang SC"/>
          <w:b/>
        </w:rPr>
        <w:t>RQ4：系统差异。</w:t>
      </w:r>
      <w:r>
        <w:rPr>
          <w:rFonts w:ascii="Calibri" w:hAnsi="Calibri" w:eastAsia="PingFang SC"/>
        </w:rPr>
        <w:t xml:space="preserve"> 商业 Deep Research、统一工具 harness 下的通用 agent 和开源 Deep Research agent 是否表现出稳定的失败模式差异？</w:t>
      </w:r>
    </w:p>
    <w:p>
      <w:pPr>
        <w:pStyle w:val="Heading2"/>
      </w:pPr>
      <w:r>
        <w:t>2.2 可证伪假设</w:t>
      </w:r>
    </w:p>
    <w:p>
      <w:pPr>
        <w:pStyle w:val="ListBullet"/>
      </w:pPr>
      <w:r>
        <w:rPr>
          <w:rFonts w:ascii="Calibri" w:hAnsi="Calibri" w:eastAsia="PingFang SC"/>
          <w:b/>
        </w:rPr>
        <w:t>H1：</w:t>
      </w:r>
      <w:r>
        <w:rPr>
          <w:rFonts w:ascii="Calibri" w:hAnsi="Calibri" w:eastAsia="PingFang SC"/>
        </w:rPr>
        <w:t xml:space="preserve"> matched 交付物的用户适配显著高于 swapped 交付物，且该差异不能由输出长度或通用质量解释。</w:t>
      </w:r>
    </w:p>
    <w:p>
      <w:pPr>
        <w:pStyle w:val="ListBullet"/>
      </w:pPr>
      <w:r>
        <w:rPr>
          <w:rFonts w:ascii="Calibri" w:hAnsi="Calibri" w:eastAsia="PingFang SC"/>
          <w:b/>
        </w:rPr>
        <w:t>H2：</w:t>
      </w:r>
      <w:r>
        <w:rPr>
          <w:rFonts w:ascii="Calibri" w:hAnsi="Calibri" w:eastAsia="PingFang SC"/>
        </w:rPr>
        <w:t xml:space="preserve"> 语义内容相同时，非结构化历史的适配优势低于结构化 persona。</w:t>
      </w:r>
    </w:p>
    <w:p>
      <w:pPr>
        <w:pStyle w:val="ListBullet"/>
      </w:pPr>
      <w:r>
        <w:rPr>
          <w:rFonts w:ascii="Calibri" w:hAnsi="Calibri" w:eastAsia="PingFang SC"/>
          <w:b/>
        </w:rPr>
        <w:t>H3：</w:t>
      </w:r>
      <w:r>
        <w:rPr>
          <w:rFonts w:ascii="Calibri" w:hAnsi="Calibri" w:eastAsia="PingFang SC"/>
        </w:rPr>
        <w:t xml:space="preserve"> 长上下文干扰使用户特异适配比共同任务质量下降更快；re-anchor 能选择性恢复适配。</w:t>
      </w:r>
    </w:p>
    <w:p>
      <w:pPr>
        <w:pStyle w:val="ListBullet"/>
      </w:pPr>
      <w:r>
        <w:rPr>
          <w:rFonts w:ascii="Calibri" w:hAnsi="Calibri" w:eastAsia="PingFang SC"/>
          <w:b/>
        </w:rPr>
        <w:t>H4：</w:t>
      </w:r>
      <w:r>
        <w:rPr>
          <w:rFonts w:ascii="Calibri" w:hAnsi="Calibri" w:eastAsia="PingFang SC"/>
        </w:rPr>
        <w:t xml:space="preserve"> 不同 agent 类型在忽略约束、信息冲突、过度个性化和恢复失败上存在可重复差异。</w:t>
      </w:r>
    </w:p>
    <w:p>
      <w:r>
        <w:rPr>
          <w:rFonts w:ascii="Calibri" w:hAnsi="Calibri" w:eastAsia="PingFang SC"/>
        </w:rPr>
        <w:t>如果用户间的合格结果差异无法获得稳定人类一致性，matched 不优于 swapped，或 judge 无法通过预设门槛，将缩小研究构念和论文主张，而不是通过调整权重保留结论。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152" w:bottom="1152" w:left="1152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DeepAlign-Bench 研究设计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DeepAlign-Bench 研究流程：从五平面元数据、反事实任务族和跨 agent 运行，到 rubric compiler、分层 judge 与人评校准。" title="DeepAlign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Align-Bench_主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元数据定义 case，反事实任务族提供识别，rubric compiler 选择适用评价契约，分层 judge 与人评完成评分和校准。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3. 基准设计</w:t>
      </w:r>
    </w:p>
    <w:p>
      <w:pPr>
        <w:pStyle w:val="Heading2"/>
      </w:pPr>
      <w:r>
        <w:t>3.1 评测对象与范围</w:t>
      </w:r>
    </w:p>
    <w:p>
      <w:r>
        <w:rPr>
          <w:rFonts w:ascii="Calibri" w:hAnsi="Calibri" w:eastAsia="PingFang SC"/>
        </w:rPr>
        <w:t>一个 Deep Research episode 必须需要多步信息获取、验证、综合或实验，并交付供用户决策、行动、理解或后续生产使用的产物。纯事实问答、单次搜索和只需改变语气的任务不进入主集。交付物可包括研究报告、决策备忘录、行动计划、代码与技术说明、表格、幻灯片、网页或多文件项目。</w:t>
      </w:r>
    </w:p>
    <w:p>
      <w:pPr>
        <w:pStyle w:val="Heading2"/>
      </w:pPr>
      <w:r>
        <w:t>3.2 Deep Research Evaluation Atlas</w:t>
      </w:r>
    </w:p>
    <w:p>
      <w:r>
        <w:rPr>
          <w:rFonts w:ascii="Calibri" w:hAnsi="Calibri" w:eastAsia="PingFang SC"/>
        </w:rPr>
        <w:t>每个 case 用五个元数据平面定位：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Research Task：</w:t>
      </w:r>
      <w:r>
        <w:rPr>
          <w:rFonts w:ascii="Calibri" w:hAnsi="Calibri" w:eastAsia="PingFang SC"/>
        </w:rPr>
        <w:t xml:space="preserve"> 使用情境、研究意图、领域、交付物、需求强度和风险；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Research Environment：</w:t>
      </w:r>
      <w:r>
        <w:rPr>
          <w:rFonts w:ascii="Calibri" w:hAnsi="Calibri" w:eastAsia="PingFang SC"/>
        </w:rPr>
        <w:t xml:space="preserve"> frozen/live/private 证据、时效、工具、预算和权限；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Task-conditioned User State：</w:t>
      </w:r>
      <w:r>
        <w:rPr>
          <w:rFonts w:ascii="Calibri" w:hAnsi="Calibri" w:eastAsia="PingFang SC"/>
        </w:rPr>
        <w:t xml:space="preserve"> 目标、知识、约束、偏好、风险、受众和动态状态；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User-signal Channel：</w:t>
      </w:r>
      <w:r>
        <w:rPr>
          <w:rFonts w:ascii="Calibri" w:hAnsi="Calibri" w:eastAsia="PingFang SC"/>
        </w:rPr>
        <w:t xml:space="preserve"> brief、persona、clarification、history、behavior、workspace 和 feedback；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Agent System：</w:t>
      </w:r>
      <w:r>
        <w:rPr>
          <w:rFonts w:ascii="Calibri" w:hAnsi="Calibri" w:eastAsia="PingFang SC"/>
        </w:rPr>
        <w:t xml:space="preserve"> 模型/产品版本、搜索、记忆、规划、多 agent 和工具权限。</w:t>
      </w:r>
    </w:p>
    <w:p>
      <w:r>
        <w:rPr>
          <w:rFonts w:ascii="Calibri" w:hAnsi="Calibri" w:eastAsia="PingFang SC"/>
        </w:rPr>
        <w:t>Atlas 驱动抽样、实验条件生成、rubric 选择、结果切片和覆盖审计。每个组合标记为 tested、defined-only、structurally-inapplicable 或 deferred；未测试的组合不用于支持结论。</w:t>
      </w:r>
    </w:p>
    <w:p>
      <w:pPr>
        <w:pStyle w:val="Heading2"/>
      </w:pPr>
      <w:r>
        <w:t>3.3 任务抽样与失败分类</w:t>
      </w:r>
    </w:p>
    <w:p>
      <w:r>
        <w:rPr>
          <w:rFonts w:ascii="Calibri" w:hAnsi="Calibri" w:eastAsia="PingFang SC"/>
        </w:rPr>
        <w:t>任务按“使用情境 × 研究意图 × 需求剖面”组织。使用情境包括个人与日常、专业与企业、学术与前沿；研究意图包括理解与综合、发现与枚举、比较与决策、评估与预测、规划/设计/排障、验证与审计。需求剖面分别标注概念广度、逻辑嵌套、探索性、搜索 fan-out、时效、风险/可逆性和交互需求，不压缩成单一难度分。</w:t>
      </w:r>
    </w:p>
    <w:p>
      <w:r>
        <w:rPr>
          <w:rFonts w:ascii="Calibri" w:hAnsi="Calibri" w:eastAsia="PingFang SC"/>
        </w:rPr>
        <w:t>参考 Agent-SafetyBench，本项目分开“结果风险”和“预期失败模式”：前者回答最终错在何处，后者说明 case 设计用于暴露什么问题。预期标签不进入主 judge prompt；运行后的实际错误独立标注，并保留 other/emergent 类。</w:t>
      </w:r>
    </w:p>
    <w:p>
      <w:pPr>
        <w:pStyle w:val="Heading2"/>
      </w:pPr>
      <w:r>
        <w:t>3.4 反事实任务族与用户真值</w:t>
      </w:r>
    </w:p>
    <w:p>
      <w:r>
        <w:rPr>
          <w:rFonts w:ascii="Calibri" w:hAnsi="Calibri" w:eastAsia="PingFang SC"/>
        </w:rPr>
        <w:t>每个 family 固定任务、证据和资源，构造两个对结果有实质影响的强对比用户。Persona 是 task-conditioned user-state ledger 的一种展示。每条用户信息记录来源、时间、可信度、任务相关性、敏感度，以及是否允许写入最终交付物。</w:t>
      </w:r>
    </w:p>
    <w:p>
      <w:r>
        <w:rPr>
          <w:rFonts w:ascii="Calibri" w:hAnsi="Calibri" w:eastAsia="PingFang SC"/>
        </w:rPr>
        <w:t>每个 user-task 在运行前冻结真值包：共同要求、用户特异要求、禁止事项、可接受替代、关键证据、严重错误封顶、预期澄清点和 matched/swapped 差异预测。关键偏好必须有用户确认或可审计来源，不得由人口属性或研究者直接推断。</w:t>
      </w:r>
    </w:p>
    <w:p>
      <w:pPr>
        <w:pStyle w:val="Heading1"/>
      </w:pPr>
      <w:r>
        <w:t>4. 实验设计</w:t>
      </w:r>
    </w:p>
    <w:p>
      <w:pPr>
        <w:pStyle w:val="Heading2"/>
      </w:pPr>
      <w:r>
        <w:t>4.1 核心矩阵</w:t>
      </w:r>
    </w:p>
    <w:p>
      <w:r>
        <w:rPr>
          <w:rFonts w:ascii="Calibri" w:hAnsi="Calibri" w:eastAsia="PingFang SC"/>
        </w:rPr>
        <w:t>24 task families × 2 users × 4 signal conditions × 3 agents = 最多 576 core episodes。</w:t>
      </w:r>
    </w:p>
    <w:p>
      <w:r>
        <w:rPr>
          <w:rFonts w:ascii="Calibri" w:hAnsi="Calibri" w:eastAsia="PingFang SC"/>
        </w:rPr>
        <w:t>四种信号条件为 task-only、structured persona、语义等价自然历史和 clarification-allowed。三类核心系统为商业 Deep Research 产品、统一搜索/工具 harness 下的通用 agent、可复现开源 Deep Research agent。代码 agent、多 agent、memory system 和第二个商业产品仅在 eligibility predicate 为真的 anchor family 中测试。</w:t>
      </w:r>
    </w:p>
    <w:p>
      <w:pPr>
        <w:pStyle w:val="Heading2"/>
      </w:pPr>
      <w:r>
        <w:t>4.2 评测轨道与压力测试</w:t>
      </w:r>
    </w:p>
    <w:p>
      <w:pPr>
        <w:pStyle w:val="ListBullet"/>
      </w:pPr>
      <w:r>
        <w:rPr>
          <w:rFonts w:ascii="Calibri" w:hAnsi="Calibri" w:eastAsia="PingFang SC"/>
          <w:b/>
        </w:rPr>
        <w:t>Frozen Core：</w:t>
      </w:r>
      <w:r>
        <w:rPr>
          <w:rFonts w:ascii="Calibri" w:hAnsi="Calibri" w:eastAsia="PingFang SC"/>
        </w:rPr>
        <w:t xml:space="preserve"> 证据和工具固定，用于主要科学结论；</w:t>
      </w:r>
    </w:p>
    <w:p>
      <w:pPr>
        <w:pStyle w:val="ListBullet"/>
      </w:pPr>
      <w:r>
        <w:rPr>
          <w:rFonts w:ascii="Calibri" w:hAnsi="Calibri" w:eastAsia="PingFang SC"/>
          <w:b/>
        </w:rPr>
        <w:t>Live Web：</w:t>
      </w:r>
      <w:r>
        <w:rPr>
          <w:rFonts w:ascii="Calibri" w:hAnsi="Calibri" w:eastAsia="PingFang SC"/>
        </w:rPr>
        <w:t xml:space="preserve"> 记录日期、搜索服务和网页快照，仅用于生态有效性；</w:t>
      </w:r>
    </w:p>
    <w:p>
      <w:pPr>
        <w:pStyle w:val="ListBullet"/>
      </w:pPr>
      <w:r>
        <w:rPr>
          <w:rFonts w:ascii="Calibri" w:hAnsi="Calibri" w:eastAsia="PingFang SC"/>
          <w:b/>
        </w:rPr>
        <w:t>Longitudinal/Interactive：</w:t>
      </w:r>
      <w:r>
        <w:rPr>
          <w:rFonts w:ascii="Calibri" w:hAnsi="Calibri" w:eastAsia="PingFang SC"/>
        </w:rPr>
        <w:t xml:space="preserve"> 用户状态中途变化，用于保持、更新和恢复测试。</w:t>
      </w:r>
    </w:p>
    <w:p>
      <w:r>
        <w:rPr>
          <w:rFonts w:ascii="Calibri" w:hAnsi="Calibri" w:eastAsia="PingFang SC"/>
        </w:rPr>
        <w:t>8 个 anchor family 是压力测试宿主，不是 persona 类别。先构造两个用户都与任务合理匹配的 clean family，冻结 must-change/must-hold 和 matched/swapped 真值；再固定目标用户、任务、证据和预算，只改变可见 signal bundle、上下文位置、交接摘要或更新时间。Persona–task 匹配只是基线的前置门。</w:t>
      </w:r>
    </w:p>
    <w:p>
      <w:r>
        <w:rPr>
          <w:rFonts w:ascii="Calibri" w:hAnsi="Calibri" w:eastAsia="PingFang SC"/>
        </w:rPr>
        <w:t>所有 anchor 运行 clean、persona swap 和 irrelevant-signal；冲突/过期、dilution、handoff 和动态更新按预注册适用性分配。Re-anchor 是恢复干预，在固定子集上无论基线是否失败都成对运行，避免选择偏差。报告 ΔPF/invariance、冲突解析、retention/AUC、handoff loss、update correctness、recovery gain 及 TQ/事实/隐私副作用；不同轨道和预算不混榜。</w:t>
      </w:r>
    </w:p>
    <w:p>
      <w:pPr>
        <w:pStyle w:val="Heading2"/>
      </w:pPr>
      <w:r>
        <w:t>4.3 最终结果与过程证据</w:t>
      </w:r>
    </w:p>
    <w:p>
      <w:r>
        <w:rPr>
          <w:rFonts w:ascii="Calibri" w:hAnsi="Calibri" w:eastAsia="PingFang SC"/>
        </w:rPr>
        <w:t>最终交付物是主榜对象，可支持用户适配、反事实优势、共同质量和误用边界的结论，但不能单独区分“未读取、遗忘、已知但未使用”。因此所有样本保存必要的工具调用、用户信息检索、权限访问和交付物；20%–30% 子集通过 memory、handoff 和 re-anchor 的受控重跑做机制诊断。如果该子集未完成，论文只报告最终交付物个性化，不声称已定位内部偏移机制。</w:t>
      </w:r>
    </w:p>
    <w:p>
      <w:pPr>
        <w:pStyle w:val="Heading1"/>
      </w:pPr>
      <w:r>
        <w:t>5. 评分方法</w:t>
      </w:r>
    </w:p>
    <w:p>
      <w:pPr>
        <w:pStyle w:val="Heading2"/>
      </w:pPr>
      <w:r>
        <w:t>5.1 Metadata-driven Rubric Compiler</w:t>
      </w:r>
    </w:p>
    <w:p>
      <w:r>
        <w:rPr>
          <w:rFonts w:ascii="Calibri" w:hAnsi="Calibri" w:eastAsia="PingFang SC"/>
        </w:rPr>
        <w:t>当前 case 的 rubric 由 core、personalization、research intent、deliverable、behavioral operator 和 risk 六类模块组成。统一的是叶节点 schema、适用条件和校准程序，而不是让所有任务共用一张评分表。每个叶节点包含评价类型、适用条件、预期方向、证据对象、评分锚点、严重性、权重和 verifier。</w:t>
      </w:r>
    </w:p>
    <w:p>
      <w:r>
        <w:rPr>
          <w:rFonts w:ascii="Calibri" w:hAnsi="Calibri" w:eastAsia="PingFang SC"/>
        </w:rPr>
        <w:t>四类评价契约为：</w:t>
      </w:r>
    </w:p>
    <w:p>
      <w:pPr>
        <w:pStyle w:val="ListBullet"/>
      </w:pPr>
      <w:r>
        <w:rPr>
          <w:rFonts w:ascii="Calibri" w:hAnsi="Calibri" w:eastAsia="PingFang SC"/>
          <w:b/>
        </w:rPr>
        <w:t>must-change：</w:t>
      </w:r>
      <w:r>
        <w:rPr>
          <w:rFonts w:ascii="Calibri" w:hAnsi="Calibri" w:eastAsia="PingFang SC"/>
        </w:rPr>
        <w:t xml:space="preserve"> 用户差异必须改变的内容、决策、深度、行动或披露边界；</w:t>
      </w:r>
    </w:p>
    <w:p>
      <w:pPr>
        <w:pStyle w:val="ListBullet"/>
      </w:pPr>
      <w:r>
        <w:rPr>
          <w:rFonts w:ascii="Calibri" w:hAnsi="Calibri" w:eastAsia="PingFang SC"/>
          <w:b/>
        </w:rPr>
        <w:t>must-hold：</w:t>
      </w:r>
      <w:r>
        <w:rPr>
          <w:rFonts w:ascii="Calibri" w:hAnsi="Calibri" w:eastAsia="PingFang SC"/>
        </w:rPr>
        <w:t xml:space="preserve"> 不应随用户改变的事实、证据和共同质量；</w:t>
      </w:r>
    </w:p>
    <w:p>
      <w:pPr>
        <w:pStyle w:val="ListBullet"/>
      </w:pPr>
      <w:r>
        <w:rPr>
          <w:rFonts w:ascii="Calibri" w:hAnsi="Calibri" w:eastAsia="PingFang SC"/>
          <w:b/>
        </w:rPr>
        <w:t>must-not：</w:t>
      </w:r>
      <w:r>
        <w:rPr>
          <w:rFonts w:ascii="Calibri" w:hAnsi="Calibri" w:eastAsia="PingFang SC"/>
        </w:rPr>
        <w:t xml:space="preserve"> 不得假设、泄露、越权或为迎合偏好而扭曲的内容；</w:t>
      </w:r>
    </w:p>
    <w:p>
      <w:pPr>
        <w:pStyle w:val="ListBullet"/>
      </w:pPr>
      <w:r>
        <w:rPr>
          <w:rFonts w:ascii="Calibri" w:hAnsi="Calibri" w:eastAsia="PingFang SC"/>
          <w:b/>
        </w:rPr>
        <w:t>clarify-if-unknown：</w:t>
      </w:r>
      <w:r>
        <w:rPr>
          <w:rFonts w:ascii="Calibri" w:hAnsi="Calibri" w:eastAsia="PingFang SC"/>
        </w:rPr>
        <w:t xml:space="preserve"> 缺少关键信息时应提问、给条件分支或明确说明假设。</w:t>
      </w:r>
    </w:p>
    <w:p>
      <w:pPr>
        <w:pStyle w:val="Heading2"/>
      </w:pPr>
      <w:r>
        <w:t>5.2 Metrics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Task Quality (TQ) / Factual Reliability (FR)：</w:t>
      </w:r>
      <w:r>
        <w:rPr>
          <w:rFonts w:ascii="Calibri" w:hAnsi="Calibri" w:eastAsia="PingFang SC"/>
        </w:rPr>
        <w:t xml:space="preserve"> 任务完成、关键覆盖、claim 支持、引用覆盖和来源质量；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Personalization Fit (PF) / Misuse Penalty (MP)：</w:t>
      </w:r>
      <w:r>
        <w:rPr>
          <w:rFonts w:ascii="Calibri" w:hAnsi="Calibri" w:eastAsia="PingFang SC"/>
        </w:rPr>
        <w:t xml:space="preserve"> 用户特异要求完成率，以及刻板化、误用、隐私和过度迎合惩罚；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Counterfactual Fit Advantage (CFA)：</w:t>
      </w:r>
    </w:p>
    <w:p>
      <w:r>
        <w:rPr>
          <w:rFonts w:ascii="Calibri" w:hAnsi="Calibri" w:eastAsia="PingFang SC"/>
        </w:rPr>
        <w:t>CFA(a,b) = 1/2 [(PF_a(Y_a)-PF_a(Y_b)) + (PF_b(Y_b)-PF_b(Y_a))]；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Retention / Recovery：</w:t>
      </w:r>
      <w:r>
        <w:rPr>
          <w:rFonts w:ascii="Calibri" w:hAnsi="Calibri" w:eastAsia="PingFang SC"/>
        </w:rPr>
        <w:t xml:space="preserve"> 长程干扰下的适配保留率、重新锚定后的恢复收益及其副作用。</w:t>
      </w:r>
    </w:p>
    <w:p>
      <w:r>
        <w:rPr>
          <w:rFonts w:ascii="Calibri" w:hAnsi="Calibri" w:eastAsia="PingFang SC"/>
        </w:rPr>
        <w:t>主榜先应用 TQ、FR 和关键隐私/安全门槛，再报告 PF-MP、CFA、Retention 和 Recovery。不将这些指标简单平均成允许相互补偿的总分。</w:t>
      </w:r>
    </w:p>
    <w:p>
      <w:pPr>
        <w:pStyle w:val="Heading2"/>
      </w:pPr>
      <w:r>
        <w:t>5.3 Judge 与 JudgeBench</w:t>
      </w:r>
    </w:p>
    <w:p>
      <w:r>
        <w:rPr>
          <w:rFonts w:ascii="Calibri" w:hAnsi="Calibri" w:eastAsia="PingFang SC"/>
        </w:rPr>
        <w:t>评估采用四层级联：L0 确定性 verifier 检查文件、测试、格式、预算和权限；L1 证据 verifier 检查 claim、引用支持和来源；L2 强通用 judge 按冻结的原子 rubric 逐项给分；L3 目标用户和领域专家分别复核用户效用与专业正确性。Judge 只获得当前叶节点需要且已授权的用户信息，必须引用交付物证据并允许弃权。</w:t>
      </w:r>
    </w:p>
    <w:p>
      <w:r>
        <w:rPr>
          <w:rFonts w:ascii="Calibri" w:hAnsi="Calibri" w:eastAsia="PingFang SC"/>
        </w:rPr>
        <w:t>JudgeBench 计划构建 240 个单元，覆盖位置交换、长度控制、漂亮格式诱饵、persona 关键词堆叠、事实更强但适配更弱、隐私泄露、边界答案和正确弃权。两个月主线为 verifier → strong judge → 20% 分层人评 + 分歧仲裁。SFT scorer 仅在第 4 周前获得足够高质量 gold 且不阻塞主实验时作为附录效率研究。</w:t>
      </w:r>
    </w:p>
    <w:p>
      <w:pPr>
        <w:pStyle w:val="Heading1"/>
      </w:pPr>
      <w:r>
        <w:t>6. 数据质量、统计与可复现性</w:t>
      </w:r>
    </w:p>
    <w:p>
      <w:pPr>
        <w:pStyle w:val="Heading2"/>
      </w:pPr>
      <w:r>
        <w:t>6.1 数据质量控制</w:t>
      </w:r>
    </w:p>
    <w:p>
      <w:r>
        <w:rPr>
          <w:rFonts w:ascii="Calibri" w:hAnsi="Calibri" w:eastAsia="PingFang SC"/>
        </w:rPr>
        <w:t>每个 task-persona 对必须通过六项门槛：场景真实、决策相关、用户间可区分、存在共同核心、信息最少且隐私可控、不依赖刻板印象。标注者先独立编写 must-change 和 must-hold，再处理分歧。Rubric 必须通过 matched/swapped 区分力、无关 persona invariance 和跨任务模块校准后才进入主实验。</w:t>
      </w:r>
    </w:p>
    <w:p>
      <w:pPr>
        <w:pStyle w:val="Heading2"/>
      </w:pPr>
      <w:r>
        <w:t>6.2 统计方案</w:t>
      </w:r>
    </w:p>
    <w:p>
      <w:r>
        <w:rPr>
          <w:rFonts w:ascii="Calibri" w:hAnsi="Calibri" w:eastAsia="PingFang SC"/>
        </w:rPr>
        <w:t>主效应采用 task family 内 matched/swapped 配对比较，报告 bootstrap 置信区间和 family-level 方差。渠道、agent 和压力条件通过分层模型或预注册配对检验分析。排名差异若小于人评与 judge 不确定性，不发布伪精确名次。</w:t>
      </w:r>
    </w:p>
    <w:p>
      <w:pPr>
        <w:pStyle w:val="Heading2"/>
      </w:pPr>
      <w:r>
        <w:t>6.3 可复现与污染控制</w:t>
      </w:r>
    </w:p>
    <w:p>
      <w:r>
        <w:rPr>
          <w:rFonts w:ascii="Calibri" w:hAnsi="Calibri" w:eastAsia="PingFang SC"/>
        </w:rPr>
        <w:t>运行记录包括模型/产品版本、搜索后端、时间戳、工具调用、交付物哈希、rubric 版本和 judge 版本。Frozen Core 保存证据快照与支持文档；Live Web 单独报告。开发集、私有测试集和 JudgeBench 对抗集分离；评分训练数据按 task family、用户、agent 和时间切分，避免同 family 泄漏。</w:t>
      </w:r>
    </w:p>
    <w:p>
      <w:pPr>
        <w:pStyle w:val="Heading1"/>
      </w:pPr>
      <w:r>
        <w:t>7. 预期贡献与成功标准</w:t>
      </w:r>
    </w:p>
    <w:p>
      <w:pPr>
        <w:pStyle w:val="Heading2"/>
      </w:pPr>
      <w:r>
        <w:t>7.1 预期贡献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可扩展的 Deep Research Evaluation Atlas 和 coverage manifest；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 matched/swapped 任务族识别用户特异价值的反事实评估方法；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由元数据选择适用模块的 rubric compiler 和不可补偿质量门槛；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分离结果风险与预期失败模式的诊断 taxonomy；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用于审计个性化评委的 JudgeBench 和可复现运行协议。</w:t>
      </w:r>
    </w:p>
    <w:p>
      <w:pPr>
        <w:pStyle w:val="Heading2"/>
      </w:pPr>
      <w:r>
        <w:t>7.2 Go / No-Go 标准</w:t>
      </w:r>
    </w:p>
    <w:p>
      <w:pPr>
        <w:pStyle w:val="ListBullet"/>
      </w:pPr>
      <w:r>
        <w:rPr>
          <w:rFonts w:ascii="Calibri" w:hAnsi="Calibri" w:eastAsia="PingFang SC"/>
        </w:rPr>
        <w:t>至少 80% 的 task family 能得到稳定的人类用户差异判断；</w:t>
      </w:r>
    </w:p>
    <w:p>
      <w:pPr>
        <w:pStyle w:val="ListBullet"/>
      </w:pPr>
      <w:r>
        <w:rPr>
          <w:rFonts w:ascii="Calibri" w:hAnsi="Calibri" w:eastAsia="PingFang SC"/>
        </w:rPr>
        <w:t>参考交付物在共同质量达标时显示 matched 优于 swapped；</w:t>
      </w:r>
    </w:p>
    <w:p>
      <w:pPr>
        <w:pStyle w:val="ListBullet"/>
      </w:pPr>
      <w:r>
        <w:rPr>
          <w:rFonts w:ascii="Calibri" w:hAnsi="Calibri" w:eastAsia="PingFang SC"/>
        </w:rPr>
        <w:t>Judge 达到预注册一致性与校准门槛，否则扩大人评并停止自动精细排名；</w:t>
      </w:r>
    </w:p>
    <w:p>
      <w:pPr>
        <w:pStyle w:val="ListBullet"/>
      </w:pPr>
      <w:r>
        <w:rPr>
          <w:rFonts w:ascii="Calibri" w:hAnsi="Calibri" w:eastAsia="PingFang SC"/>
        </w:rPr>
        <w:t>个性化效应在控制输出长度、共同质量和评委偏差后仍存在；</w:t>
      </w:r>
    </w:p>
    <w:p>
      <w:pPr>
        <w:pStyle w:val="ListBullet"/>
      </w:pPr>
      <w:r>
        <w:rPr>
          <w:rFonts w:ascii="Calibri" w:hAnsi="Calibri" w:eastAsia="PingFang SC"/>
        </w:rPr>
        <w:t>两个月内完成冻结主矩阵、覆盖审计、至少 20% 人评和可复现分析。</w:t>
      </w:r>
    </w:p>
    <w:p>
      <w:pPr>
        <w:pStyle w:val="Heading1"/>
      </w:pPr>
      <w:r>
        <w:t>8. 时间表、风险与论文边界</w:t>
      </w:r>
    </w:p>
    <w:p>
      <w:pPr>
        <w:pStyle w:val="Heading2"/>
      </w:pPr>
      <w:r>
        <w:t>8.1 八周计划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主要产出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失败时的收缩方案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冻结 Atlas、schema、coverage 和 24 family 配额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缩小 ontology，不增加新分支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24 family、48 user state 和 persona-task 检查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删除无稳定用户差异的任务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真值包、四类契约和 rubric modules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无区分力的 rubric 不进主榜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240-unit JudgeBench、judge 基线和 6 family dry run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judge 不过门则增加人评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三类核心 agent 完成主矩阵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冻结版本，停止新增 agent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anchor 压测、20% 人评和错误 open coding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只保留证据充分的机制结论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统计、覆盖审计、消融和 Results 初稿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删除不受支持的支线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结果冻结、复现、全文和匿名材料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不再增加 taxonomy 或系统</w:t>
            </w:r>
          </w:p>
        </w:tc>
      </w:tr>
    </w:tbl>
    <w:p>
      <w:pPr>
        <w:spacing w:after="40"/>
      </w:pPr>
    </w:p>
    <w:p>
      <w:pPr>
        <w:pStyle w:val="Heading2"/>
      </w:pPr>
      <w:r>
        <w:t>8.2 主要风险及缓解</w:t>
      </w:r>
    </w:p>
    <w:p>
      <w:pPr>
        <w:pStyle w:val="ListBullet"/>
      </w:pPr>
      <w:r>
        <w:rPr>
          <w:rFonts w:ascii="Calibri" w:hAnsi="Calibri" w:eastAsia="PingFang SC"/>
          <w:b/>
        </w:rPr>
        <w:t>用户真值不成立：</w:t>
      </w:r>
      <w:r>
        <w:rPr>
          <w:rFonts w:ascii="Calibri" w:hAnsi="Calibri" w:eastAsia="PingFang SC"/>
        </w:rPr>
        <w:t xml:space="preserve"> 关键偏好由用户确认；双人独立标注与仲裁；删除无稳定差异的 family。</w:t>
      </w:r>
    </w:p>
    <w:p>
      <w:pPr>
        <w:pStyle w:val="ListBullet"/>
      </w:pPr>
      <w:r>
        <w:rPr>
          <w:rFonts w:ascii="Calibri" w:hAnsi="Calibri" w:eastAsia="PingFang SC"/>
          <w:b/>
        </w:rPr>
        <w:t>Rubric 循环定义：</w:t>
      </w:r>
      <w:r>
        <w:rPr>
          <w:rFonts w:ascii="Calibri" w:hAnsi="Calibri" w:eastAsia="PingFang SC"/>
        </w:rPr>
        <w:t xml:space="preserve"> rubric 在模型输出前冻结，并通过错配、无关信息和参考交付物校准。</w:t>
      </w:r>
    </w:p>
    <w:p>
      <w:pPr>
        <w:pStyle w:val="ListBullet"/>
      </w:pPr>
      <w:r>
        <w:rPr>
          <w:rFonts w:ascii="Calibri" w:hAnsi="Calibri" w:eastAsia="PingFang SC"/>
          <w:b/>
        </w:rPr>
        <w:t>Judge 偏好文风或长度：</w:t>
      </w:r>
      <w:r>
        <w:rPr>
          <w:rFonts w:ascii="Calibri" w:hAnsi="Calibri" w:eastAsia="PingFang SC"/>
        </w:rPr>
        <w:t xml:space="preserve"> 运行位置交换、长度匹配、关键词诱饵和弃权测试；低置信样本转人评。</w:t>
      </w:r>
    </w:p>
    <w:p>
      <w:pPr>
        <w:pStyle w:val="ListBullet"/>
      </w:pPr>
      <w:r>
        <w:rPr>
          <w:rFonts w:ascii="Calibri" w:hAnsi="Calibri" w:eastAsia="PingFang SC"/>
          <w:b/>
        </w:rPr>
        <w:t>跨 agent 比较不公平：</w:t>
      </w:r>
      <w:r>
        <w:rPr>
          <w:rFonts w:ascii="Calibri" w:hAnsi="Calibri" w:eastAsia="PingFang SC"/>
        </w:rPr>
        <w:t xml:space="preserve"> 记录工具、预算和版本；受控 harness 与端到端产品分开报告。</w:t>
      </w:r>
    </w:p>
    <w:p>
      <w:pPr>
        <w:pStyle w:val="ListBullet"/>
      </w:pPr>
      <w:r>
        <w:rPr>
          <w:rFonts w:ascii="Calibri" w:hAnsi="Calibri" w:eastAsia="PingFang SC"/>
          <w:b/>
        </w:rPr>
        <w:t>范围过大：</w:t>
      </w:r>
      <w:r>
        <w:rPr>
          <w:rFonts w:ascii="Calibri" w:hAnsi="Calibri" w:eastAsia="PingFang SC"/>
        </w:rPr>
        <w:t xml:space="preserve"> 主矩阵只包含 24 family、4 条件和 3 类 agent；扩展系统不阻塞主论文。</w:t>
      </w:r>
    </w:p>
    <w:p>
      <w:pPr>
        <w:pStyle w:val="Heading2"/>
      </w:pPr>
      <w:r>
        <w:t>8.3 论文主张边界</w:t>
      </w:r>
    </w:p>
    <w:p>
      <w:r>
        <w:rPr>
          <w:rFonts w:ascii="Calibri" w:hAnsi="Calibri" w:eastAsia="PingFang SC"/>
        </w:rPr>
        <w:t>若只完成 Outcome Core，论文仅声称测量最终交付物的用户适配。只有当轨迹审计与受控重跑完成时，才报告保持、更新和恢复机制。本项目不声称首版覆盖所有 Deep Research 模式，只对 coverage manifest 中标记为 tested 的组合作结论。</w:t>
      </w:r>
    </w:p>
    <w:p>
      <w:pPr>
        <w:pStyle w:val="Heading1"/>
      </w:pPr>
      <w:r>
        <w:t>参考文献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[1] OpenCompass Team. </w:t>
      </w:r>
      <w:r>
        <w:rPr>
          <w:rFonts w:ascii="Calibri" w:hAnsi="Calibri" w:eastAsia="PingFang SC"/>
          <w:i/>
          <w:sz w:val="17"/>
        </w:rPr>
        <w:t>OpenCompass: A Universal Evaluation Platform for Large Language Models</w:t>
      </w:r>
      <w:r>
        <w:rPr>
          <w:rFonts w:ascii="Calibri" w:hAnsi="Calibri" w:eastAsia="PingFang SC"/>
          <w:sz w:val="17"/>
        </w:rPr>
        <w:t>. 2026.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[2] EvalScope Documentation. </w:t>
      </w:r>
      <w:r>
        <w:rPr>
          <w:rFonts w:ascii="Calibri" w:hAnsi="Calibri" w:eastAsia="PingFang SC"/>
          <w:i/>
          <w:sz w:val="17"/>
        </w:rPr>
        <w:t>Getting Started and Evaluation Backends</w:t>
      </w:r>
      <w:r>
        <w:rPr>
          <w:rFonts w:ascii="Calibri" w:hAnsi="Calibri" w:eastAsia="PingFang SC"/>
          <w:sz w:val="17"/>
        </w:rPr>
        <w:t>. 2026.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[3] Zhang et al. </w:t>
      </w:r>
      <w:r>
        <w:rPr>
          <w:rFonts w:ascii="Calibri" w:hAnsi="Calibri" w:eastAsia="PingFang SC"/>
          <w:i/>
          <w:sz w:val="17"/>
        </w:rPr>
        <w:t>Agent-SafetyBench: Evaluating the Safety of LLM Agents</w:t>
      </w:r>
      <w:r>
        <w:rPr>
          <w:rFonts w:ascii="Calibri" w:hAnsi="Calibri" w:eastAsia="PingFang SC"/>
          <w:sz w:val="17"/>
        </w:rPr>
        <w:t>. arXiv:2412.14470, 2024.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[4] </w:t>
      </w:r>
      <w:r>
        <w:rPr>
          <w:rFonts w:ascii="Calibri" w:hAnsi="Calibri" w:eastAsia="PingFang SC"/>
          <w:i/>
          <w:sz w:val="17"/>
        </w:rPr>
        <w:t>Towards Personalized Deep Research: Benchmarks and Evaluations</w:t>
      </w:r>
      <w:r>
        <w:rPr>
          <w:rFonts w:ascii="Calibri" w:hAnsi="Calibri" w:eastAsia="PingFang SC"/>
          <w:sz w:val="17"/>
        </w:rPr>
        <w:t>. arXiv:2509.25106, 2025.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[5] Wang et al. </w:t>
      </w:r>
      <w:r>
        <w:rPr>
          <w:rFonts w:ascii="Calibri" w:hAnsi="Calibri" w:eastAsia="PingFang SC"/>
          <w:i/>
          <w:sz w:val="17"/>
        </w:rPr>
        <w:t>LiveResearchBench: A Live Benchmark for User-Centric Deep Research in the Wild</w:t>
      </w:r>
      <w:r>
        <w:rPr>
          <w:rFonts w:ascii="Calibri" w:hAnsi="Calibri" w:eastAsia="PingFang SC"/>
          <w:sz w:val="17"/>
        </w:rPr>
        <w:t>. arXiv:2510.14240, 2025.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[6] Sharma et al. </w:t>
      </w:r>
      <w:r>
        <w:rPr>
          <w:rFonts w:ascii="Calibri" w:hAnsi="Calibri" w:eastAsia="PingFang SC"/>
          <w:i/>
          <w:sz w:val="17"/>
        </w:rPr>
        <w:t>ResearchRubrics: A Benchmark of Prompts and Rubrics for Evaluating Deep Research Agents</w:t>
      </w:r>
      <w:r>
        <w:rPr>
          <w:rFonts w:ascii="Calibri" w:hAnsi="Calibri" w:eastAsia="PingFang SC"/>
          <w:sz w:val="17"/>
        </w:rPr>
        <w:t>. arXiv:2511.07685, 2025.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[7] Starace et al. </w:t>
      </w:r>
      <w:r>
        <w:rPr>
          <w:rFonts w:ascii="Calibri" w:hAnsi="Calibri" w:eastAsia="PingFang SC"/>
          <w:i/>
          <w:sz w:val="17"/>
        </w:rPr>
        <w:t>PaperBench: Evaluating AI's Ability to Replicate AI Research</w:t>
      </w:r>
      <w:r>
        <w:rPr>
          <w:rFonts w:ascii="Calibri" w:hAnsi="Calibri" w:eastAsia="PingFang SC"/>
          <w:sz w:val="17"/>
        </w:rPr>
        <w:t>. OpenAI, 2025.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[8] Yoran et al. </w:t>
      </w:r>
      <w:r>
        <w:rPr>
          <w:rFonts w:ascii="Calibri" w:hAnsi="Calibri" w:eastAsia="PingFang SC"/>
          <w:i/>
          <w:sz w:val="17"/>
        </w:rPr>
        <w:t>AssistantBench: Can Web Agents Solve Realistic and Time-Consuming Tasks?</w:t>
      </w:r>
      <w:r>
        <w:rPr>
          <w:rFonts w:ascii="Calibri" w:hAnsi="Calibri" w:eastAsia="PingFang SC"/>
          <w:sz w:val="17"/>
        </w:rPr>
        <w:t xml:space="preserve"> arXiv:2407.15711, 2024.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[9] Java et al. </w:t>
      </w:r>
      <w:r>
        <w:rPr>
          <w:rFonts w:ascii="Calibri" w:hAnsi="Calibri" w:eastAsia="PingFang SC"/>
          <w:i/>
          <w:sz w:val="17"/>
        </w:rPr>
        <w:t>Characterizing Deep Research: A Benchmark and Formal Definition</w:t>
      </w:r>
      <w:r>
        <w:rPr>
          <w:rFonts w:ascii="Calibri" w:hAnsi="Calibri" w:eastAsia="PingFang SC"/>
          <w:sz w:val="17"/>
        </w:rPr>
        <w:t>. arXiv:2508.04183, 2025.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[10] Abaskohi et al. </w:t>
      </w:r>
      <w:r>
        <w:rPr>
          <w:rFonts w:ascii="Calibri" w:hAnsi="Calibri" w:eastAsia="PingFang SC"/>
          <w:i/>
          <w:sz w:val="17"/>
        </w:rPr>
        <w:t>DRBench: A Realistic Benchmark for Enterprise Deep Research</w:t>
      </w:r>
      <w:r>
        <w:rPr>
          <w:rFonts w:ascii="Calibri" w:hAnsi="Calibri" w:eastAsia="PingFang SC"/>
          <w:sz w:val="17"/>
        </w:rPr>
        <w:t>. arXiv:2510.00172, 2025.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[11] Liang et al. </w:t>
      </w:r>
      <w:r>
        <w:rPr>
          <w:rFonts w:ascii="Calibri" w:hAnsi="Calibri" w:eastAsia="PingFang SC"/>
          <w:i/>
          <w:sz w:val="17"/>
        </w:rPr>
        <w:t>Holistic Evaluation of Language Models</w:t>
      </w:r>
      <w:r>
        <w:rPr>
          <w:rFonts w:ascii="Calibri" w:hAnsi="Calibri" w:eastAsia="PingFang SC"/>
          <w:sz w:val="17"/>
        </w:rPr>
        <w:t>. TMLR, 2023.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[12] Ribeiro et al. </w:t>
      </w:r>
      <w:r>
        <w:rPr>
          <w:rFonts w:ascii="Calibri" w:hAnsi="Calibri" w:eastAsia="PingFang SC"/>
          <w:i/>
          <w:sz w:val="17"/>
        </w:rPr>
        <w:t>Beyond Accuracy: Behavioral Testing of NLP Models with CheckList</w:t>
      </w:r>
      <w:r>
        <w:rPr>
          <w:rFonts w:ascii="Calibri" w:hAnsi="Calibri" w:eastAsia="PingFang SC"/>
          <w:sz w:val="17"/>
        </w:rPr>
        <w:t>. ACL, 2020.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[13] Reuel et al. </w:t>
      </w:r>
      <w:r>
        <w:rPr>
          <w:rFonts w:ascii="Calibri" w:hAnsi="Calibri" w:eastAsia="PingFang SC"/>
          <w:i/>
          <w:sz w:val="17"/>
        </w:rPr>
        <w:t>BetterBench: Assessing AI Benchmarks, Uncovering Issues, and Establishing Best Practices</w:t>
      </w:r>
      <w:r>
        <w:rPr>
          <w:rFonts w:ascii="Calibri" w:hAnsi="Calibri" w:eastAsia="PingFang SC"/>
          <w:sz w:val="17"/>
        </w:rPr>
        <w:t>. arXiv:2411.12990, 2024.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[14] Zhu et al. </w:t>
      </w:r>
      <w:r>
        <w:rPr>
          <w:rFonts w:ascii="Calibri" w:hAnsi="Calibri" w:eastAsia="PingFang SC"/>
          <w:i/>
          <w:sz w:val="17"/>
        </w:rPr>
        <w:t>JudgeLM: Fine-tuned Large Language Models are Scalable Judges</w:t>
      </w:r>
      <w:r>
        <w:rPr>
          <w:rFonts w:ascii="Calibri" w:hAnsi="Calibri" w:eastAsia="PingFang SC"/>
          <w:sz w:val="17"/>
        </w:rPr>
        <w:t>. arXiv:2310.17631, 2023.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[15] Huang et al. </w:t>
      </w:r>
      <w:r>
        <w:rPr>
          <w:rFonts w:ascii="Calibri" w:hAnsi="Calibri" w:eastAsia="PingFang SC"/>
          <w:i/>
          <w:sz w:val="17"/>
        </w:rPr>
        <w:t>An Empirical Study of LLM-as-a-Judge for LLM Evaluation</w:t>
      </w:r>
      <w:r>
        <w:rPr>
          <w:rFonts w:ascii="Calibri" w:hAnsi="Calibri" w:eastAsia="PingFang SC"/>
          <w:sz w:val="17"/>
        </w:rPr>
        <w:t>. arXiv:2403.02839, 2024.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[16] Zeng et al. </w:t>
      </w:r>
      <w:r>
        <w:rPr>
          <w:rFonts w:ascii="Calibri" w:hAnsi="Calibri" w:eastAsia="PingFang SC"/>
          <w:i/>
          <w:sz w:val="17"/>
        </w:rPr>
        <w:t>Setoka: A Benchmark for Hierarchical User Understanding in Personalized Agents over Heterogeneous Data</w:t>
      </w:r>
      <w:r>
        <w:rPr>
          <w:rFonts w:ascii="Calibri" w:hAnsi="Calibri" w:eastAsia="PingFang SC"/>
          <w:sz w:val="17"/>
        </w:rPr>
        <w:t>. arXiv:2607.27056, 2026.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[17] Qian et al. </w:t>
      </w:r>
      <w:r>
        <w:rPr>
          <w:rFonts w:ascii="Calibri" w:hAnsi="Calibri" w:eastAsia="PingFang SC"/>
          <w:i/>
          <w:sz w:val="17"/>
        </w:rPr>
        <w:t>Toward User-Conditioned Evaluation of Personal LLM Agents under Temporal Interventions</w:t>
      </w:r>
      <w:r>
        <w:rPr>
          <w:rFonts w:ascii="Calibri" w:hAnsi="Calibri" w:eastAsia="PingFang SC"/>
          <w:sz w:val="17"/>
        </w:rPr>
        <w:t>. arXiv:2607.21635, 2026.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[18] Yang et al. </w:t>
      </w:r>
      <w:r>
        <w:rPr>
          <w:rFonts w:ascii="Calibri" w:hAnsi="Calibri" w:eastAsia="PingFang SC"/>
          <w:i/>
          <w:sz w:val="17"/>
        </w:rPr>
        <w:t>PersonaTrail: Benchmarking Personalized Web Agents through Browsing Trails</w:t>
      </w:r>
      <w:r>
        <w:rPr>
          <w:rFonts w:ascii="Calibri" w:hAnsi="Calibri" w:eastAsia="PingFang SC"/>
          <w:sz w:val="17"/>
        </w:rPr>
        <w:t>. arXiv:2607.20482, 2026.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[19] Todisco et al. </w:t>
      </w:r>
      <w:r>
        <w:rPr>
          <w:rFonts w:ascii="Calibri" w:hAnsi="Calibri" w:eastAsia="PingFang SC"/>
          <w:i/>
          <w:sz w:val="17"/>
        </w:rPr>
        <w:t>TARS: A Theory-of-Mind Agent for Personalized In-IDE Code Comprehension</w:t>
      </w:r>
      <w:r>
        <w:rPr>
          <w:rFonts w:ascii="Calibri" w:hAnsi="Calibri" w:eastAsia="PingFang SC"/>
          <w:sz w:val="17"/>
        </w:rPr>
        <w:t>. arXiv:2607.15948, 2026.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[20] Yang. </w:t>
      </w:r>
      <w:r>
        <w:rPr>
          <w:rFonts w:ascii="Calibri" w:hAnsi="Calibri" w:eastAsia="PingFang SC"/>
          <w:i/>
          <w:sz w:val="17"/>
        </w:rPr>
        <w:t>Self-Aware Recursively Self-Improving Agents for Personal Singularity</w:t>
      </w:r>
      <w:r>
        <w:rPr>
          <w:rFonts w:ascii="Calibri" w:hAnsi="Calibri" w:eastAsia="PingFang SC"/>
          <w:sz w:val="17"/>
        </w:rPr>
        <w:t>. arXiv:2607.12254, 2026.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[21] Mao et al. </w:t>
      </w:r>
      <w:r>
        <w:rPr>
          <w:rFonts w:ascii="Calibri" w:hAnsi="Calibri" w:eastAsia="PingFang SC"/>
          <w:i/>
          <w:sz w:val="17"/>
        </w:rPr>
        <w:t>Agents Don't Just Agree, They Remember: Benchmarking Persistent Sycophancy in Stateful Personal Agents</w:t>
      </w:r>
      <w:r>
        <w:rPr>
          <w:rFonts w:ascii="Calibri" w:hAnsi="Calibri" w:eastAsia="PingFang SC"/>
          <w:sz w:val="17"/>
        </w:rPr>
        <w:t>. arXiv:2607.10526, 2026.</w:t>
      </w:r>
    </w:p>
    <w:p>
      <w:pPr>
        <w:spacing w:after="20" w:line="240" w:lineRule="auto"/>
        <w:ind w:left="360" w:hanging="360"/>
      </w:pPr>
      <w:r>
        <w:rPr>
          <w:rFonts w:ascii="Calibri" w:hAnsi="Calibri" w:eastAsia="PingFang SC"/>
          <w:sz w:val="17"/>
        </w:rPr>
        <w:t xml:space="preserve">[22] Yang et al. </w:t>
      </w:r>
      <w:r>
        <w:rPr>
          <w:rFonts w:ascii="Calibri" w:hAnsi="Calibri" w:eastAsia="PingFang SC"/>
          <w:i/>
          <w:sz w:val="17"/>
        </w:rPr>
        <w:t>APeB: Benchmarking Personalization Ability of Large Language Model Agents</w:t>
      </w:r>
      <w:r>
        <w:rPr>
          <w:rFonts w:ascii="Calibri" w:hAnsi="Calibri" w:eastAsia="PingFang SC"/>
          <w:sz w:val="17"/>
        </w:rPr>
        <w:t>. arXiv:2607.03162, 2026.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152" w:right="1152" w:bottom="1152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正式 PROPOSAL 精简版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正式 PROPOSAL 精简版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正式 PROPOSAL 精简版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  <w:jc w:val="left"/>
    </w:pPr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63A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9"/>
      <w:contextualSpacing/>
    </w:pPr>
    <w:rPr>
      <w:rFonts w:ascii="Calibri" w:hAnsi="Calibri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9"/>
      <w:contextualSpacing/>
    </w:pPr>
    <w:rPr>
      <w:rFonts w:ascii="Calibri" w:hAnsi="Calibri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