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v0.65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5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6"/>
          <w:footerReference w:type="default" r:id="rId17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 xml:space="preserve">v0.63 已把候选实例化为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>：4 个 Code/Data task、8 个 A/B user states、4 套 100 分 rubric 与三域 S0 prompts。该包只用于 interaction/parser/reset 排障；真实 repo/data 未绑定前不是 artifact smoke，双人确认前不是 gold。细 rubric 的 2 分要求代码、测试、计算、阈值、停止规则、行动排序或 matched/swapped diff；只写“考虑了 X”最多 1 分。</w:t>
      </w:r>
    </w:p>
    <w:p>
      <w:r>
        <w:rPr>
          <w:rFonts w:ascii="Calibri" w:hAnsi="Calibri" w:eastAsia="PingFang SC"/>
        </w:rPr>
        <w:t>v0.64 首轮 live S0 中，Codex 三题得到 Research PASS、Code PASS with warning、Data FAIL：失败来自遗漏 decision horizon，说明“问到部分 high-δ”不能替代完整 specification recovery。Claude 三题均在模型接收输入前因企业账户余额不足返回 HTTP 401、token 为 0，只记鉴权基础设施失败，不计 agent 能力分。该结果只用于修 harness 与指标，不形成排行榜结论。</w:t>
      </w:r>
    </w:p>
    <w:p>
      <w:r>
        <w:rPr>
          <w:rFonts w:ascii="Calibri" w:hAnsi="Calibri" w:eastAsia="PingFang SC"/>
        </w:rPr>
        <w:t>v0.65 的单任务 PDR-T30 × User12 × ChatGPT Deep Research pilot 已跑通三条件和原始 PDR 44 条 criteria 的盲化三重复评分：Full=6.703、No-Ask=5.596、Interactive=6.033，InteractiveGain=+0.438，RecoveryRatio=39.53%。Interactive 问了六个 task-relevant 问题，恢复了时间安排、AI/创业方向、长期品牌目标和 ROI 偏好，但未问 founder/company role、技术资历、既有平台/工具、跨境和合规信息。该 n=1 product-UI 结果只验证 signal 与失败链；full 也获准追问，评分 transport 不是官方 API，因此不进入确认性主表。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 xml:space="preserve">PDR 的 50 题先全部按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 xml:space="preserve"> 标注，不随机抽样，也不按 domain 配额。leverage=2 只表示用户差异应改变内容、约束、证据或结论；进入主 slice 还必须通过非表面改变、history 可取证、2–4 个可验证 dimensions、真实 DR 需求、人口/关键词投射和 task–profile 冲突门。</w:t>
      </w:r>
    </w:p>
    <w:p>
      <w:r>
        <w:rPr>
          <w:rFonts w:ascii="Calibri" w:hAnsi="Calibri" w:eastAsia="PingFang SC"/>
        </w:rPr>
        <w:t xml:space="preserve">当前 provisional 15 题为 </w:t>
      </w:r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 xml:space="preserve">，覆盖 Education 3、Career 3、Health 1、Travel 1、Finance 2、Creative 1、Shopping 2、Real Estate 1、Parenting 1；分布是结果，不是配额。官方映射在这 15 题上共有 76 个 bridge pair，因为公开 task 10 有 6 位用户。完整 50 题表与规则位于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PDR tasks 可作 DR source shell，structured persona 可作 bridge 条件；但这 15 题仍须双人盲化复标，A/B pair 另行选择，并重新冻结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、自然 history evidence、matched/swapped 和 human rubric。年龄/性别/职业标签不计作 preference node，儿童状态须有行为或照护证据；Finance/Health/Real Estate 须经专家安全与可行性复核。官方 persona 不能直接进入 Ask 主条件，simulated context 不能称为自然 history；禁止根据 agent 输出替换任务。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 冻结 PDR-T01、PDR-T30、SW001、SW013、DA003、DA015。每题一个 A/B 用户对，在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；Ask 跑 A0/A1/A2，两个 DR 题另跑 I1 history 与 I3 Full-Persona bridge，A0=I0、A2=I2 精确复用。Codex CLI、Claude Code、Gemini CLI 三个必跑系统共 114 个唯一 episode；条件性加入 OpenHands 后为 152。matched block 在 2–6 小时内随机顺序完成，整批目标 48–72 小时并重跑 5%–10% anchors。该规模只验证操纵、日志、rubric 和近邻增量。</w:t>
      </w:r>
    </w:p>
    <w:p>
      <w:r>
        <w:rPr>
          <w:rFonts w:ascii="Calibri" w:hAnsi="Calibri" w:eastAsia="PingFang SC"/>
        </w:rPr>
        <w:t>9 月 14 日过门后，第一轮只扩到 12 个独立基础任务（Deep Research、Coding、Data 各 4 个），作为截止期内 scoped agent-system leaderboard 的候选规模。通过人工 qualification 的 15 个 PDR task 加 Coding/Data 各 8 个只构成后续 31 题规划上限，不是两周承诺。最终规模由 pilot family-level 方差、资格通过率、成本与最小实际重要差异做功效模拟后冻结，不得看 agent 输出删题。统计单位是基础任务，不是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rxiv.org/abs/2608.05876" TargetMode="External"/><Relationship Id="rId13" Type="http://schemas.openxmlformats.org/officeDocument/2006/relationships/hyperlink" Target="https://arxiv.org/abs/2601.06676" TargetMode="External"/><Relationship Id="rId14" Type="http://schemas.openxmlformats.org/officeDocument/2006/relationships/hyperlink" Target="https://arxiv.org/abs/2602.03468" TargetMode="External"/><Relationship Id="rId15" Type="http://schemas.openxmlformats.org/officeDocument/2006/relationships/hyperlink" Target="https://arxiv.org/abs/2606.27669" TargetMode="Externa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.png"/><Relationship Id="rId19" Type="http://schemas.openxmlformats.org/officeDocument/2006/relationships/header" Target="header3.xml"/><Relationship Id="rId20" Type="http://schemas.openxmlformats.org/officeDocument/2006/relationships/footer" Target="footer3.xml"/><Relationship Id="rId21" Type="http://schemas.openxmlformats.org/officeDocument/2006/relationships/hyperlink" Target="https://github.com/OPPO-PersonalAI/PersonalizedDeepResearchBench" TargetMode="External"/><Relationship Id="rId22" Type="http://schemas.openxmlformats.org/officeDocument/2006/relationships/hyperlink" Target="https://aclanthology.org/2026.acl-long.2079/" TargetMode="External"/><Relationship Id="rId23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