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方法、假设与实验不变，把每一步说清楚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v0.21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同一任务和证据下，只改变用户；匹配结果应呈现跨用户对角优势，换成语义等价表达后仍应成立。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能不能写出一份“看起来不错”的报告，而是：</w:t>
      </w:r>
      <w:r>
        <w:rPr>
          <w:rFonts w:ascii="Calibri" w:hAnsi="Calibri" w:eastAsia="PingFang SC"/>
          <w:b/>
        </w:rPr>
        <w:t>同一个研究任务交给不同用户时，它能不能根据用户真正相关的信息，交付不同但都正确的结果。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例如，两个人都问“我应该选哪一个硕士项目”。学校信息完全相同，但一个人预算紧、希望尽快就业，另一个人准备读博、重视科研训练。合格的 agent 不只是把两人的背景各写一遍，而应该改变比较标准、证据重点、风险提醒和最后建议。同时，学校事实、引用质量和基本分析不能因为“个性化”而变差。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给 agent 不同形式的用户信息，最后的交付物是否真的更适合这个用户？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同一任务换一个同样合理的用户后，交付物是否在该变的地方变化、在不该变的地方保持？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会不会忽略、误用、过度使用或泄露用户信息？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在长任务、信息冲突、子 agent 交接或用户中途改主意时，个性化能力会不会丢失？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我们设计的 rubric 和 judge 能不能稳定识别上述差异，而不是只学会偏爱某种写作风格？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主实验固定为 24 个 task family、每题两个强对比用户、4 种用户信息条件和 3 类 agent，最多 576 个 episode；其中 8 个 family 负责压力测试。另建 240-unit JudgeBench，并对至少 20% 输出做人评。领域专家负责事实和共同质量，目标用户负责判断 matched/swapped 哪份更适合自己；合成 persona 不能代替这一步。这个规模用于验证方法，不声称覆盖所有 Deep Research 模式；未测试、不适用和延期组合都会明确标出。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完全一致。主榜评最终交付物；轻量轨迹和受控重跑只用于解释保持、偏离与恢复。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研究问题是怎样一步步收敛的</w:t>
      </w:r>
    </w:p>
    <w:p>
      <w:r>
        <w:rPr>
          <w:rFonts w:ascii="Calibri" w:hAnsi="Calibri" w:eastAsia="PingFang SC"/>
        </w:rPr>
        <w:t>第一步，Deep Research benchmark 先回答“报告一般好不好”：任务有没有完成、事实和引用是否可靠、分析是否完整。这是所有个性化结果都必须先过的底线，但它没有说明同一份报告更适合哪一个用户。</w:t>
      </w:r>
    </w:p>
    <w:p>
      <w:r>
        <w:rPr>
          <w:rFonts w:ascii="Calibri" w:hAnsi="Calibri" w:eastAsia="PingFang SC"/>
        </w:rPr>
        <w:t>第二步，个性化研究开始回答“agent 是否理解了用户”。LaMP 用用户历史评测个性化生成，PersonaLens 在任务型对话里同时看偏好、任务成功和回复质量，PersonaMem 要求模型跟踪会变化的用户画像。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r>
        <w:rPr>
          <w:rFonts w:ascii="Calibri" w:hAnsi="Calibri" w:eastAsia="PingFang SC"/>
        </w:rPr>
        <w:t xml:space="preserve"> Setoka、PersonaTrail 和 APeB 又把信号扩展到异构记录、浏览轨迹和商品行为。</w:t>
      </w:r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所以“用户理解和历史利用没人测”已经说不通；这些工作大多停在响应选择、记忆问答或单域意图。</w:t>
      </w:r>
    </w:p>
    <w:p>
      <w:r>
        <w:rPr>
          <w:rFonts w:ascii="Calibri" w:hAnsi="Calibri" w:eastAsia="PingFang SC"/>
        </w:rPr>
        <w:t>第三步，研究已经开始回答“理解之后有没有真的行动”。TravelPlanner+ 让用户模型改变旅行计划，ETAPP 和 ToolSpectrum 让画像与环境改变工具选择，Mem2ActBench 与 APOLLO 检查长期偏好能否落实到工具和参数。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[35]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[36]</w:t>
        </w:r>
      </w:hyperlink>
      <w:r>
        <w:rPr>
          <w:rFonts w:ascii="Calibri" w:hAnsi="Calibri" w:eastAsia="PingFang SC"/>
        </w:rPr>
        <w:t xml:space="preserve"> TARS 还直接测了用户时间和认知负担。</w:t>
      </w:r>
      <w:hyperlink r:id="rId27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因此，“个性化行动无人评测”同样不是我们的 gap；这些任务多是单域计划或离散工具/GUI 动作，和开放式、多证据的 DR 最终交付物仍不同。</w:t>
      </w:r>
    </w:p>
    <w:p>
      <w:r>
        <w:rPr>
          <w:rFonts w:ascii="Calibri" w:hAnsi="Calibri" w:eastAsia="PingFang SC"/>
        </w:rPr>
        <w:t>第四步，研究把时间和风险也纳入进来。RPEval 测无关记忆会不会导致不理性个性化，PAHF 用澄清、记忆和反馈适应偏好变化，PerMemBench 问“哪些信息值得为这个用户写入”，Memora 与 CloneMem 测过期事实和多年数字轨迹。</w:t>
      </w:r>
      <w:hyperlink r:id="rId28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hyperlink r:id="rId30">
        <w:r>
          <w:rPr>
            <w:rFonts w:ascii="Calibri" w:hAnsi="Calibri" w:eastAsia="PingFang SC"/>
            <w:color w:val="2E74B5"/>
            <w:u w:val="single"/>
          </w:rPr>
          <w:t>[32]</w:t>
        </w:r>
      </w:hyperlink>
      <w:hyperlink r:id="rId31">
        <w:r>
          <w:rPr>
            <w:rFonts w:ascii="Calibri" w:hAnsi="Calibri" w:eastAsia="PingFang SC"/>
            <w:color w:val="2E74B5"/>
            <w:u w:val="single"/>
          </w:rPr>
          <w:t>[33]</w:t>
        </w:r>
      </w:hyperlink>
      <w:hyperlink r:id="rId32">
        <w:r>
          <w:rPr>
            <w:rFonts w:ascii="Calibri" w:hAnsi="Calibri" w:eastAsia="PingFang SC"/>
            <w:color w:val="2E74B5"/>
            <w:u w:val="single"/>
          </w:rPr>
          <w:t>[34]</w:t>
        </w:r>
      </w:hyperlink>
      <w:r>
        <w:rPr>
          <w:rFonts w:ascii="Calibri" w:hAnsi="Calibri" w:eastAsia="PingFang SC"/>
        </w:rPr>
        <w:t xml:space="preserve"> PASB 和 PS-Bench 又说明，持久记忆不仅可能过期，还可能把迎合或危险意图长期合理化。</w:t>
      </w:r>
      <w:hyperlink r:id="rId33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34">
        <w:r>
          <w:rPr>
            <w:rFonts w:ascii="Calibri" w:hAnsi="Calibri" w:eastAsia="PingFang SC"/>
            <w:color w:val="2E74B5"/>
            <w:u w:val="single"/>
          </w:rPr>
          <w:t>[39]</w:t>
        </w:r>
      </w:hyperlink>
      <w:r>
        <w:rPr>
          <w:rFonts w:ascii="Calibri" w:hAnsi="Calibri" w:eastAsia="PingFang SC"/>
        </w:rPr>
        <w:t xml:space="preserve"> 这要求我们的 irrelevant、stale、write、update 和 must-not 测试成为正式实验，而不是几个演示案例。</w:t>
      </w:r>
    </w:p>
    <w:p>
      <w:r>
        <w:rPr>
          <w:rFonts w:ascii="Calibri" w:hAnsi="Calibri" w:eastAsia="PingFang SC"/>
        </w:rPr>
        <w:t>最后，PDR-Bench 与另一项 PDR 工作已经直接研究 persona 驱动的 Deep Research；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36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MyScholarQA 还发现，合成用户和 LLM judge 会漏掉真人指出的九类细微个性化错误。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PDR-Bench 会根据 task 和 persona 生成 P-Score 的权重与子标准，再评价目标、内容、呈现和可行动性；它已经能可靠表达“给定这个 task 和 persona，这份报告有多适合该用户”这一 absolute adaptation 问题。</w:t>
      </w:r>
    </w:p>
    <w:p>
      <w:r>
        <w:rPr>
          <w:rFonts w:ascii="Calibri" w:hAnsi="Calibri" w:eastAsia="PingFang SC"/>
        </w:rPr>
        <w:t>DeepAlign 不重复回答这个问题，而是换一个 estimand：</w:t>
      </w:r>
      <w:r>
        <w:rPr>
          <w:rFonts w:ascii="Calibri" w:hAnsi="Calibri" w:eastAsia="PingFang SC"/>
          <w:b/>
        </w:rPr>
        <w:t>同一任务和证据换成另一个同样合理的用户后，两份报告是否各自更适合自己的用户？</w:t>
      </w:r>
      <w:r>
        <w:rPr>
          <w:rFonts w:ascii="Calibri" w:hAnsi="Calibri" w:eastAsia="PingFang SC"/>
        </w:rPr>
        <w:t xml:space="preserve"> PDR-Bench 的 pairwise 比较回答“同一用户下哪个 agent 报告更好”；DeepAlign 的跨用户 2×2 matched/swapped 矩阵回答“只改变用户条件后，输出是否发生方向正确的变化”。这就是从 absolute adaptation evaluation 到 counterfactual personalization effect identification。</w:t>
      </w:r>
    </w:p>
    <w:p>
      <w:r>
        <w:rPr>
          <w:rFonts w:ascii="Calibri" w:hAnsi="Calibri" w:eastAsia="PingFang SC"/>
        </w:rPr>
        <w:t>仅仅看到两份输出不同还不够。</w:t>
      </w: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 xml:space="preserve"> 规定哪些决策必须随用户改变；</w:t>
      </w: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 xml:space="preserve"> 规定哪些事实、证据和共同质量不能改变；</w:t>
      </w: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 xml:space="preserve"> 规定不能因为 persona 就额外推断、迎合或泄露什么。三者共同防止把随机差异、质量下降或过度个性化误认为有效 personalization。</w:t>
      </w:r>
    </w:p>
    <w:p>
      <w:r>
        <w:rPr>
          <w:rFonts w:ascii="Calibri" w:hAnsi="Calibri" w:eastAsia="PingFang SC"/>
        </w:rPr>
        <w:t>还要避免另一个过度主张：matched/swapped 通过，也不能证明模型内部“真的理解了用户”。模型可能只是看到“不懂 AI”就调用短报告模板。为此我们要再检查：同一用户需求改写成结构化 persona、自然历史、澄清对话或去掉显眼关键词后，关键决策是否保持；只换无关人口属性或措辞时，不该变的事实和结论是否稳定。ACL 2026 的研究已经发现，同一 persona 换一种提示线索就可能改变测量结论；</w:t>
      </w:r>
      <w:hyperlink r:id="rId38">
        <w:r>
          <w:rPr>
            <w:rFonts w:ascii="Calibri" w:hAnsi="Calibri" w:eastAsia="PingFang SC"/>
            <w:color w:val="2E74B5"/>
            <w:u w:val="single"/>
          </w:rPr>
          <w:t>[40]</w:t>
        </w:r>
      </w:hyperlink>
      <w:r>
        <w:rPr>
          <w:rFonts w:ascii="Calibri" w:hAnsi="Calibri" w:eastAsia="PingFang SC"/>
        </w:rPr>
        <w:t xml:space="preserve"> PARL 也强调个性化 rubric 必须同时有代表性、用户一致性和区分力。</w:t>
      </w:r>
      <w:hyperlink r:id="rId39">
        <w:r>
          <w:rPr>
            <w:rFonts w:ascii="Calibri" w:hAnsi="Calibri" w:eastAsia="PingFang SC"/>
            <w:color w:val="2E74B5"/>
            <w:u w:val="single"/>
          </w:rPr>
          <w:t>[41]</w:t>
        </w:r>
      </w:hyperlink>
      <w:r>
        <w:rPr>
          <w:rFonts w:ascii="Calibri" w:hAnsi="Calibri" w:eastAsia="PingFang SC"/>
        </w:rPr>
        <w:t xml:space="preserve"> 长度、格式和关键词诱饵是 DeepAlign 对自身 judge 的独立测量有效性审计，与 PDR-Bench 的能力判断无关。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PDR-Bench、Setoka、PersonaTrail 或 APeB 的拼接版。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用反事实任务族识别可观察的用户特异结果，而不是推断模型内部认知；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用压力测试区分获取、保持、利用、更新和恢复问题。</w:t>
      </w:r>
    </w:p>
    <w:p>
      <w:r>
        <w:rPr>
          <w:rFonts w:ascii="Calibri" w:hAnsi="Calibri" w:eastAsia="PingFang SC"/>
        </w:rPr>
        <w:t>我们也要主动缩小首创表述：不声称首先研究 personalization、history、tool use、persistent state 或 temporal intervention，也不声称通过输出实验证明了模型“真正理解用户”。我们的候选贡献是把这些已有方向连接到</w:t>
      </w:r>
      <w:r>
        <w:rPr>
          <w:rFonts w:ascii="Calibri" w:hAnsi="Calibri" w:eastAsia="PingFang SC"/>
          <w:b/>
        </w:rPr>
        <w:t>广义 Deep Research 最终交付物的反事实特异性测量</w:t>
      </w:r>
      <w:r>
        <w:rPr>
          <w:rFonts w:ascii="Calibri" w:hAnsi="Calibri" w:eastAsia="PingFang SC"/>
        </w:rPr>
        <w:t>。如果 matched/swapped 人评不稳定，或同一用户需求换一种语义等价表达就改变结论，这个贡献就没有成立。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Update/Recover</w:t>
      </w:r>
      <w:r>
        <w:rPr>
          <w:rFonts w:ascii="Calibri" w:hAnsi="Calibri" w:eastAsia="PingFang SC"/>
        </w:rPr>
        <w:t>：用户纠正信息或改变目标后，agent 能不能更新并修复已经偏离的结果？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主数据用 18 个 family 覆盖“3 种使用情境 × 6 种研究意图”，再用 6 个 family 复测最重要或风险最高的单元，共 24 个 family。这个规模足以验证测量方法，但不足以声称每个细分类别都有稳定模型排名。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r>
        <w:rPr>
          <w:rFonts w:ascii="Calibri" w:hAnsi="Calibri" w:eastAsia="PingFang SC"/>
        </w:rPr>
        <w:t>人评也不能混成一个角色。领域专家或训练过的标注者检查事实、证据、共同质量和 must-hold；目标用户本人确认 must-change / must-not，并在不知道报告来自哪个条件时比较 matched 与 swapped。所有 real-user-gold family 和至少 8 个分层 family 都要有这种目标用户盲评；合成 persona 只用于可控压力测试和 judge 对抗题。MyScholarQA 已经说明，合成用户与 LLM judge 会漏掉真人真正介意的个性化错误。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个 task family</w:t>
        <w:br/>
        <w:t>× 2 个强对比用户</w:t>
        <w:br/>
        <w:t>× 4 种核心用户信息条件</w:t>
        <w:br/>
        <w:t>× 3 类核心 agent</w:t>
        <w:br/>
        <w:t>= 最多 576 个核心 episode</w:t>
      </w:r>
    </w:p>
    <w:p>
      <w:r>
        <w:rPr>
          <w:rFonts w:ascii="Calibri" w:hAnsi="Calibri" w:eastAsia="PingFang SC"/>
        </w:rPr>
        <w:t>四种核心条件是：task-only、structured persona、语义等价自然历史、允许主动澄清。</w:t>
      </w:r>
    </w:p>
    <w:p>
      <w:r>
        <w:rPr>
          <w:rFonts w:ascii="Calibri" w:hAnsi="Calibri" w:eastAsia="PingFang SC"/>
        </w:rPr>
        <w:t>三类核心 agent 是：一个商业 Deep Research 产品、一个在统一搜索和工具条件下运行的通用 agent、一个可复现的开源 Deep Research agent。</w:t>
      </w:r>
    </w:p>
    <w:p>
      <w:r>
        <w:rPr>
          <w:rFonts w:ascii="Calibri" w:hAnsi="Calibri" w:eastAsia="PingFang SC"/>
        </w:rPr>
        <w:t>代码 agent、多 agent、记忆增强系统和第二个商业产品只在适合它们的 8 个 anchor family 中测试。不能为了让表格整齐，要求每个系统运行它根本不适合的任务。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Frozen Core</w:t>
      </w:r>
      <w:r>
        <w:rPr>
          <w:rFonts w:ascii="Calibri" w:hAnsi="Calibri" w:eastAsia="PingFang SC"/>
        </w:rPr>
        <w:t>：证据和工具固定，用于主要科学结论；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</w:t>
      </w:r>
      <w:r>
        <w:rPr>
          <w:rFonts w:ascii="Calibri" w:hAnsi="Calibri" w:eastAsia="PingFang SC"/>
        </w:rPr>
        <w:t>：记录日期、搜索服务和网页快照，只用于生态观察；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</w:t>
      </w:r>
      <w:r>
        <w:rPr>
          <w:rFonts w:ascii="Calibri" w:hAnsi="Calibri" w:eastAsia="PingFang SC"/>
        </w:rPr>
        <w:t>：用户状态中途变化，用于保持、更新和恢复测试。</w:t>
      </w:r>
    </w:p>
    <w:p>
      <w:r>
        <w:rPr>
          <w:rFonts w:ascii="Calibri" w:hAnsi="Calibri" w:eastAsia="PingFang SC"/>
        </w:rPr>
        <w:t>三条轨道不能混成一个总榜。商业产品版本和 live web 条件变化太快，必须单独报告。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这里要分清两件事：</w:t>
      </w:r>
      <w:r>
        <w:rPr>
          <w:rFonts w:ascii="Calibri" w:hAnsi="Calibri" w:eastAsia="PingFang SC"/>
          <w:b/>
        </w:rPr>
        <w:t>persona 与 task 匹配</w:t>
      </w:r>
      <w:r>
        <w:rPr>
          <w:rFonts w:ascii="Calibri" w:hAnsi="Calibri" w:eastAsia="PingFang SC"/>
        </w:rPr>
        <w:t>用于先做出一组有效的干净题；</w:t>
      </w:r>
      <w:r>
        <w:rPr>
          <w:rFonts w:ascii="Calibri" w:hAnsi="Calibri" w:eastAsia="PingFang SC"/>
          <w:b/>
        </w:rPr>
        <w:t>压力测试</w:t>
      </w:r>
      <w:r>
        <w:rPr>
          <w:rFonts w:ascii="Calibri" w:hAnsi="Calibri" w:eastAsia="PingFang SC"/>
        </w:rPr>
        <w:t>是在这组题上单独改一个输入或过程因素。Anchor family 只是从 24 个 family 中选出的 8 个合适实验宿主，不是 8 种 persona，也不等于 8 种失败。</w:t>
      </w:r>
    </w:p>
    <w:p>
      <w:r>
        <w:rPr>
          <w:rFonts w:ascii="Calibri" w:hAnsi="Calibri" w:eastAsia="PingFang SC"/>
        </w:rPr>
        <w:t>先固定目标用户、任务、证据和预算，再做以下配对改变：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用户中途更新目标；</w:t>
      </w:r>
    </w:p>
    <w:p>
      <w:pPr>
        <w:pStyle w:val="ListBullet"/>
      </w:pPr>
      <w:r>
        <w:rPr>
          <w:rFonts w:ascii="Calibri" w:hAnsi="Calibri" w:eastAsia="PingFang SC"/>
        </w:rPr>
        <w:t>在交付前重新提醒约束，观察能否恢复。</w:t>
      </w:r>
    </w:p>
    <w:p>
      <w:r>
        <w:rPr>
          <w:rFonts w:ascii="Calibri" w:hAnsi="Calibri" w:eastAsia="PingFang SC"/>
        </w:rPr>
        <w:t>前三个共同对照（clean、persona swap、无关信息）在所有 anchor 上运行；冲突、稀释、handoff 和动态更新只放到确实适合的 family。Re-anchor 不是 attack，而是恢复干预；预先确定哪些样本重跑，不能看见失败后再挑样本。这样才能把“这个任务本来难”与“用户信息被错配、稀释、丢失或没有更新”分开。</w:t>
      </w:r>
    </w:p>
    <w:p>
      <w:r>
        <w:rPr>
          <w:rFonts w:ascii="Calibri" w:hAnsi="Calibri" w:eastAsia="PingFang SC"/>
        </w:rPr>
        <w:t>每个扰动都要记录：什么保持不变、改了什么、何时插入、agent 当时能看见什么、配对 clean run 是哪一个、哪些结果应该变化/保持，以及恢复策略。对应指标分别是 ΔPF、无关信息 invariance、冲突解析率、PF retention/AUC、handoff loss、update correctness 和 recovery gain；同时检查事实、共同质量、长度和隐私是否受损。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子集做受控重跑，用 memory、handoff、re-anchor 等干预定位保持和恢复问题；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评测，论文必须把“形成、漂移、恢复”的机制性结论降级，不能用最终输出反推内部原因。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每个 case 的 rubric 由六类模块组成：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>所有 rubric 叶节点使用同一数据格式，但只有适用的模块才会被激活。例如代码任务需要可运行测试，决策备忘录需要比较标准和风险边界，学术综述需要覆盖与证据链。</w:t>
      </w:r>
    </w:p>
    <w:p>
      <w:pPr>
        <w:pStyle w:val="Heading2"/>
      </w:pPr>
      <w:r>
        <w:t>7.2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7.3 三棵 rubric tree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7.4 Rubric 进入主实验前必须过五关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user-state 换成语义等价 signal view 后，must-change / must-hold 判断应稳定；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CFA(a,b) = 1/2 × [Ua 对 Ya 相对 Yb 的偏好</w:t>
        <w:br/>
        <w:t xml:space="preserve">                + Ub 对 Yb 相对 Ya 的偏好]</w:t>
      </w:r>
    </w:p>
    <w:p>
      <w:r>
        <w:rPr>
          <w:rFonts w:ascii="Calibri" w:hAnsi="Calibri" w:eastAsia="PingFang SC"/>
        </w:rPr>
        <w:t>CFA 大于 0 说明评分矩阵出现“对的人更适合自己的版本”的对角优势，但它不解释模型为什么做到，也不会自动排除长度等因素。因此还要报告：语义等价 views 中最差的 CFA、不同 views 间的最大差距（Cue Gap）、must-change/must-hold 一致率，以及只改无关 cue 后分数是否变化。</w:t>
      </w:r>
    </w:p>
    <w:p>
      <w:pPr>
        <w:pStyle w:val="Heading2"/>
      </w:pPr>
      <w:r>
        <w:t>8.3 长程能力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Recovery：重新提醒或纠正后，表现恢复了多少；</w:t>
      </w:r>
    </w:p>
    <w:p>
      <w:pPr>
        <w:pStyle w:val="ListBullet"/>
      </w:pPr>
      <w:r>
        <w:rPr>
          <w:rFonts w:ascii="Calibri" w:hAnsi="Calibri" w:eastAsia="PingFang SC"/>
        </w:rPr>
        <w:t>Side effect：修复个性化问题时是否损害事实、任务质量或隐私。</w:t>
      </w:r>
    </w:p>
    <w:p>
      <w:pPr>
        <w:pStyle w:val="Heading2"/>
      </w:pPr>
      <w:r>
        <w:t>8.4 榜单不能只给一个总分</w:t>
      </w:r>
    </w:p>
    <w:p>
      <w:r>
        <w:rPr>
          <w:rFonts w:ascii="Calibri" w:hAnsi="Calibri" w:eastAsia="PingFang SC"/>
        </w:rPr>
        <w:t>主榜先检查 TQ、FR 和关键隐私门槛，再报告 PF−MP、CFA、cue robustness、Retention、Recovery、隐私违规率、成本和时间。不同 evidence track、工具预算和 agent 类型不应混排。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收到纠正后仍不能恢复。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manifest 和 24 个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 family 草案、48 个 user state、persona 兼容性检查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删除没有稳定用户差异的任务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真值包、四类契约、rubric modules 和小样本人评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不能区分 matched/swapped 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基线、6 个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不过门就缩成更多人评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跑完主矩阵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统计、bootstrap、覆盖审计和论文主要表格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删除不受数据支持的支线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应先承认 PDR-Bench 已经测 task–persona 条件下的 absolute adaptation；再证明 DeepAlign 的跨用户 2×2 对角优势和预冻结 must-change/must-hold/must-not 能识别 counterfactual personalization effect。跨线索表达、Atlas、JudgeBench 和长程压力测试只用于稳健性、外部效度与失效诊断。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能不能证明形成、保持和恢复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提供了一套机器可读的个性化 Deep Research 评测空间；</w:t>
      </w:r>
    </w:p>
    <w:p>
      <w:pPr>
        <w:pStyle w:val="ListBullet"/>
      </w:pPr>
      <w:r>
        <w:rPr>
          <w:rFonts w:ascii="Calibri" w:hAnsi="Calibri" w:eastAsia="PingFang SC"/>
        </w:rPr>
        <w:t>反事实任务族能识别交付物的用户特异性，语义等价信号测试再检查其是否只依赖表面 persona 线索；</w:t>
      </w:r>
    </w:p>
    <w:p>
      <w:pPr>
        <w:pStyle w:val="ListBullet"/>
      </w:pPr>
      <w:r>
        <w:rPr>
          <w:rFonts w:ascii="Calibri" w:hAnsi="Calibri" w:eastAsia="PingFang SC"/>
        </w:rPr>
        <w:t>不同用户信息渠道和 agent 架构会产生可诊断差异；</w:t>
      </w:r>
    </w:p>
    <w:p>
      <w:pPr>
        <w:pStyle w:val="ListBullet"/>
      </w:pPr>
      <w:r>
        <w:rPr>
          <w:rFonts w:ascii="Calibri" w:hAnsi="Calibri" w:eastAsia="PingFang SC"/>
        </w:rPr>
        <w:t>模块化 rubric 与独立 judge 校准可以支持可复现评测；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若完成诊断子集，可以报告保持、更新和恢复的受控证据。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arXiv:2605.19276,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ModelScope. </w:t>
      </w:r>
      <w:r>
        <w:rPr>
          <w:rFonts w:ascii="Calibri" w:hAnsi="Calibri" w:eastAsia="PingFang SC"/>
          <w:i/>
          <w:sz w:val="19"/>
        </w:rPr>
        <w:t>EvalScope Introduction</w:t>
      </w:r>
      <w:r>
        <w:rPr>
          <w:rFonts w:ascii="Calibri" w:hAnsi="Calibri" w:eastAsia="PingFang SC"/>
          <w:sz w:val="19"/>
        </w:rPr>
        <w:t xml:space="preserve">. </w:t>
      </w:r>
      <w:hyperlink r:id="rId40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https://evalscope.readthedocs.io/en/refact_readme/get_started/introduction.html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Zhang et al. </w:t>
      </w:r>
      <w:r>
        <w:rPr>
          <w:rFonts w:ascii="Calibri" w:hAnsi="Calibri" w:eastAsia="PingFang SC"/>
          <w:i/>
          <w:sz w:val="19"/>
        </w:rPr>
        <w:t>Agent-SafetyBench: Evaluating the Safety of LLM Agents</w:t>
      </w:r>
      <w:r>
        <w:rPr>
          <w:rFonts w:ascii="Calibri" w:hAnsi="Calibri" w:eastAsia="PingFang SC"/>
          <w:sz w:val="19"/>
        </w:rPr>
        <w:t>. arXiv:2412.14470.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Wang et al. </w:t>
      </w:r>
      <w:r>
        <w:rPr>
          <w:rFonts w:ascii="Calibri" w:hAnsi="Calibri" w:eastAsia="PingFang SC"/>
          <w:i/>
          <w:sz w:val="19"/>
        </w:rPr>
        <w:t>LiveResearchBench: A Live Benchmark for User-Centric Deep Research in the Wild</w:t>
      </w:r>
      <w:r>
        <w:rPr>
          <w:rFonts w:ascii="Calibri" w:hAnsi="Calibri" w:eastAsia="PingFang SC"/>
          <w:sz w:val="19"/>
        </w:rPr>
        <w:t>. arXiv:2510.14240.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Sharma et al. </w:t>
      </w:r>
      <w:r>
        <w:rPr>
          <w:rFonts w:ascii="Calibri" w:hAnsi="Calibri" w:eastAsia="PingFang SC"/>
          <w:i/>
          <w:sz w:val="19"/>
        </w:rPr>
        <w:t>ResearchRubrics: A Benchmark of Prompts and Rubrics for Evaluating Deep Research Agents</w:t>
      </w:r>
      <w:r>
        <w:rPr>
          <w:rFonts w:ascii="Calibri" w:hAnsi="Calibri" w:eastAsia="PingFang SC"/>
          <w:sz w:val="19"/>
        </w:rPr>
        <w:t>. arXiv:2511.07685.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Java et al. </w:t>
      </w:r>
      <w:r>
        <w:rPr>
          <w:rFonts w:ascii="Calibri" w:hAnsi="Calibri" w:eastAsia="PingFang SC"/>
          <w:i/>
          <w:sz w:val="19"/>
        </w:rPr>
        <w:t>Characterizing Deep Research: A Benchmark and Formal Definition</w:t>
      </w:r>
      <w:r>
        <w:rPr>
          <w:rFonts w:ascii="Calibri" w:hAnsi="Calibri" w:eastAsia="PingFang SC"/>
          <w:sz w:val="19"/>
        </w:rPr>
        <w:t>. arXiv:2508.04183.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Yoran et al. </w:t>
      </w:r>
      <w:r>
        <w:rPr>
          <w:rFonts w:ascii="Calibri" w:hAnsi="Calibri" w:eastAsia="PingFang SC"/>
          <w:i/>
          <w:sz w:val="19"/>
        </w:rPr>
        <w:t>AssistantBench: Can Web Agents Solve Realistic and Time-Consuming Tasks?</w:t>
      </w:r>
      <w:r>
        <w:rPr>
          <w:rFonts w:ascii="Calibri" w:hAnsi="Calibri" w:eastAsia="PingFang SC"/>
          <w:sz w:val="19"/>
        </w:rPr>
        <w:t xml:space="preserve"> arXiv:2407.15711.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[9] Liang et al. </w:t>
      </w:r>
      <w:r>
        <w:rPr>
          <w:rFonts w:ascii="Calibri" w:hAnsi="Calibri" w:eastAsia="PingFang SC"/>
          <w:i/>
          <w:sz w:val="19"/>
        </w:rPr>
        <w:t>Holistic Evaluation of Language Models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[10] Ribeiro et al. </w:t>
      </w:r>
      <w:r>
        <w:rPr>
          <w:rFonts w:ascii="Calibri" w:hAnsi="Calibri" w:eastAsia="PingFang SC"/>
          <w:i/>
          <w:sz w:val="19"/>
        </w:rPr>
        <w:t>Beyond Accuracy: Behavioral Testing of NLP Models with 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[11] Reuel et al. </w:t>
      </w:r>
      <w:r>
        <w:rPr>
          <w:rFonts w:ascii="Calibri" w:hAnsi="Calibri" w:eastAsia="PingFang SC"/>
          <w:i/>
          <w:sz w:val="19"/>
        </w:rPr>
        <w:t>BetterBench: Assessing AI Benchmarks, Uncovering Issues, and Establishing Best Practices</w:t>
      </w:r>
      <w:r>
        <w:rPr>
          <w:rFonts w:ascii="Calibri" w:hAnsi="Calibri" w:eastAsia="PingFang SC"/>
          <w:sz w:val="19"/>
        </w:rPr>
        <w:t>. arXiv:2411.12990.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[12] Sokol et al. </w:t>
      </w:r>
      <w:r>
        <w:rPr>
          <w:rFonts w:ascii="Calibri" w:hAnsi="Calibri" w:eastAsia="PingFang SC"/>
          <w:i/>
          <w:sz w:val="19"/>
        </w:rPr>
        <w:t>BenchmarkCards: Standardized Documentation for Large Language Model Benchmarks</w:t>
      </w:r>
      <w:r>
        <w:rPr>
          <w:rFonts w:ascii="Calibri" w:hAnsi="Calibri" w:eastAsia="PingFang SC"/>
          <w:sz w:val="19"/>
        </w:rPr>
        <w:t>. NeurIPS Datasets and Benchmarks,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[13] Zeng et al. </w:t>
      </w:r>
      <w:r>
        <w:rPr>
          <w:rFonts w:ascii="Calibri" w:hAnsi="Calibri" w:eastAsia="PingFang SC"/>
          <w:i/>
          <w:sz w:val="19"/>
        </w:rPr>
        <w:t>Setoka</w:t>
      </w:r>
      <w:r>
        <w:rPr>
          <w:rFonts w:ascii="Calibri" w:hAnsi="Calibri" w:eastAsia="PingFang SC"/>
          <w:sz w:val="19"/>
        </w:rPr>
        <w:t>. arXiv:2607.27056,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[14] Qian et al. </w:t>
      </w:r>
      <w:r>
        <w:rPr>
          <w:rFonts w:ascii="Calibri" w:hAnsi="Calibri" w:eastAsia="PingFang SC"/>
          <w:i/>
          <w:sz w:val="19"/>
        </w:rPr>
        <w:t>Toward User-Conditioned Evaluation of Personal LLM Agents under Temporal Interventions</w:t>
      </w:r>
      <w:r>
        <w:rPr>
          <w:rFonts w:ascii="Calibri" w:hAnsi="Calibri" w:eastAsia="PingFang SC"/>
          <w:sz w:val="19"/>
        </w:rPr>
        <w:t>. arXiv:2607.21635,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[15] Yang et al. </w:t>
      </w:r>
      <w:r>
        <w:rPr>
          <w:rFonts w:ascii="Calibri" w:hAnsi="Calibri" w:eastAsia="PingFang SC"/>
          <w:i/>
          <w:sz w:val="19"/>
        </w:rPr>
        <w:t>PersonaTrail</w:t>
      </w:r>
      <w:r>
        <w:rPr>
          <w:rFonts w:ascii="Calibri" w:hAnsi="Calibri" w:eastAsia="PingFang SC"/>
          <w:sz w:val="19"/>
        </w:rPr>
        <w:t>. arXiv:2607.20482,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[16] Todisco et al. </w:t>
      </w:r>
      <w:r>
        <w:rPr>
          <w:rFonts w:ascii="Calibri" w:hAnsi="Calibri" w:eastAsia="PingFang SC"/>
          <w:i/>
          <w:sz w:val="19"/>
        </w:rPr>
        <w:t>TARS</w:t>
      </w:r>
      <w:r>
        <w:rPr>
          <w:rFonts w:ascii="Calibri" w:hAnsi="Calibri" w:eastAsia="PingFang SC"/>
          <w:sz w:val="19"/>
        </w:rPr>
        <w:t>. arXiv:2607.15948,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[17] Yang. </w:t>
      </w:r>
      <w:r>
        <w:rPr>
          <w:rFonts w:ascii="Calibri" w:hAnsi="Calibri" w:eastAsia="PingFang SC"/>
          <w:i/>
          <w:sz w:val="19"/>
        </w:rPr>
        <w:t>Self-Aware Recursively Self-Improving Agents for Personal Singularity</w:t>
      </w:r>
      <w:r>
        <w:rPr>
          <w:rFonts w:ascii="Calibri" w:hAnsi="Calibri" w:eastAsia="PingFang SC"/>
          <w:sz w:val="19"/>
        </w:rPr>
        <w:t>. arXiv:2607.12254,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[18] Mao et al. </w:t>
      </w:r>
      <w:r>
        <w:rPr>
          <w:rFonts w:ascii="Calibri" w:hAnsi="Calibri" w:eastAsia="PingFang SC"/>
          <w:i/>
          <w:sz w:val="19"/>
        </w:rPr>
        <w:t>Agents Don't Just Agree, They Remember</w:t>
      </w:r>
      <w:r>
        <w:rPr>
          <w:rFonts w:ascii="Calibri" w:hAnsi="Calibri" w:eastAsia="PingFang SC"/>
          <w:sz w:val="19"/>
        </w:rPr>
        <w:t>. arXiv:2607.10526,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[19] Yang et al. </w:t>
      </w:r>
      <w:r>
        <w:rPr>
          <w:rFonts w:ascii="Calibri" w:hAnsi="Calibri" w:eastAsia="PingFang SC"/>
          <w:i/>
          <w:sz w:val="19"/>
        </w:rPr>
        <w:t>APeB</w:t>
      </w:r>
      <w:r>
        <w:rPr>
          <w:rFonts w:ascii="Calibri" w:hAnsi="Calibri" w:eastAsia="PingFang SC"/>
          <w:sz w:val="19"/>
        </w:rPr>
        <w:t>. arXiv:2607.03162,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[20] Salemi et al. </w:t>
      </w:r>
      <w:r>
        <w:rPr>
          <w:rFonts w:ascii="Calibri" w:hAnsi="Calibri" w:eastAsia="PingFang SC"/>
          <w:i/>
          <w:sz w:val="19"/>
        </w:rPr>
        <w:t>LaMP: When Large Language Models Meet Personalization</w:t>
      </w:r>
      <w:r>
        <w:rPr>
          <w:rFonts w:ascii="Calibri" w:hAnsi="Calibri" w:eastAsia="PingFang SC"/>
          <w:sz w:val="19"/>
        </w:rPr>
        <w:t xml:space="preserve">. ACL, 2024. </w:t>
      </w:r>
      <w:hyperlink r:id="rId16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https://aclanthology.org/2024.acl-long.399/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[21] Singh et al. </w:t>
      </w:r>
      <w:r>
        <w:rPr>
          <w:rFonts w:ascii="Calibri" w:hAnsi="Calibri" w:eastAsia="PingFang SC"/>
          <w:i/>
          <w:sz w:val="19"/>
        </w:rPr>
        <w:t>Personal Large Language Model Agents: A Case Study on Tailored Travel Planning</w:t>
      </w:r>
      <w:r>
        <w:rPr>
          <w:rFonts w:ascii="Calibri" w:hAnsi="Calibri" w:eastAsia="PingFang SC"/>
          <w:sz w:val="19"/>
        </w:rPr>
        <w:t xml:space="preserve">. EMNLP Industry Track, 2024. </w:t>
      </w:r>
      <w:hyperlink r:id="rId2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https://aclanthology.org/2024.emnlp-industry.37/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[22] Zhao et al. </w:t>
      </w:r>
      <w:r>
        <w:rPr>
          <w:rFonts w:ascii="Calibri" w:hAnsi="Calibri" w:eastAsia="PingFang SC"/>
          <w:i/>
          <w:sz w:val="19"/>
        </w:rPr>
        <w:t>PersonaLens</w:t>
      </w:r>
      <w:r>
        <w:rPr>
          <w:rFonts w:ascii="Calibri" w:hAnsi="Calibri" w:eastAsia="PingFang SC"/>
          <w:sz w:val="19"/>
        </w:rPr>
        <w:t xml:space="preserve">. Findings of ACL, 2025. </w:t>
      </w:r>
      <w:hyperlink r:id="rId17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https://aclanthology.org/2025.findings-acl.927/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[23] Jiang et al. </w:t>
      </w:r>
      <w:r>
        <w:rPr>
          <w:rFonts w:ascii="Calibri" w:hAnsi="Calibri" w:eastAsia="PingFang SC"/>
          <w:i/>
          <w:sz w:val="19"/>
        </w:rPr>
        <w:t>Know Me, Respond to Me</w:t>
      </w:r>
      <w:r>
        <w:rPr>
          <w:rFonts w:ascii="Calibri" w:hAnsi="Calibri" w:eastAsia="PingFang SC"/>
          <w:sz w:val="19"/>
        </w:rPr>
        <w:t>. arXiv:2504.14225,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[24] Hao et al. </w:t>
      </w:r>
      <w:r>
        <w:rPr>
          <w:rFonts w:ascii="Calibri" w:hAnsi="Calibri" w:eastAsia="PingFang SC"/>
          <w:i/>
          <w:sz w:val="19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9"/>
        </w:rPr>
        <w:t xml:space="preserve">. ACL, 2025. </w:t>
      </w:r>
      <w:hyperlink r:id="rId23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https://aclanthology.org/2025.acl-long.1064/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[25] Cheng et al. </w:t>
      </w:r>
      <w:r>
        <w:rPr>
          <w:rFonts w:ascii="Calibri" w:hAnsi="Calibri" w:eastAsia="PingFang SC"/>
          <w:i/>
          <w:sz w:val="19"/>
        </w:rPr>
        <w:t>ToolSpectrum</w:t>
      </w:r>
      <w:r>
        <w:rPr>
          <w:rFonts w:ascii="Calibri" w:hAnsi="Calibri" w:eastAsia="PingFang SC"/>
          <w:sz w:val="19"/>
        </w:rPr>
        <w:t>. arXiv:2505.13176,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[26] Zhang et al. </w:t>
      </w:r>
      <w:r>
        <w:rPr>
          <w:rFonts w:ascii="Calibri" w:hAnsi="Calibri" w:eastAsia="PingFang SC"/>
          <w:i/>
          <w:sz w:val="19"/>
        </w:rPr>
        <w:t>PRIME</w:t>
      </w:r>
      <w:r>
        <w:rPr>
          <w:rFonts w:ascii="Calibri" w:hAnsi="Calibri" w:eastAsia="PingFang SC"/>
          <w:sz w:val="19"/>
        </w:rPr>
        <w:t xml:space="preserve">. EMNLP, 2025. </w:t>
      </w:r>
      <w:hyperlink r:id="rId41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https://aclanthology.org/2025.emnlp-main.1711/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[27] Li et al. </w:t>
      </w:r>
      <w:r>
        <w:rPr>
          <w:rFonts w:ascii="Calibri" w:hAnsi="Calibri" w:eastAsia="PingFang SC"/>
          <w:i/>
          <w:sz w:val="19"/>
        </w:rPr>
        <w:t>Personalized Deep Research: A User-Centric Framework, Dataset, and Hybrid Evaluation</w:t>
      </w:r>
      <w:r>
        <w:rPr>
          <w:rFonts w:ascii="Calibri" w:hAnsi="Calibri" w:eastAsia="PingFang SC"/>
          <w:sz w:val="19"/>
        </w:rPr>
        <w:t>. arXiv:2605.10530,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[28] Balepur et al. </w:t>
      </w:r>
      <w:r>
        <w:rPr>
          <w:rFonts w:ascii="Calibri" w:hAnsi="Calibri" w:eastAsia="PingFang SC"/>
          <w:i/>
          <w:sz w:val="19"/>
        </w:rPr>
        <w:t>Language Models Don't Know What You Want</w:t>
      </w:r>
      <w:r>
        <w:rPr>
          <w:rFonts w:ascii="Calibri" w:hAnsi="Calibri" w:eastAsia="PingFang SC"/>
          <w:sz w:val="19"/>
        </w:rPr>
        <w:t xml:space="preserve">. ACL, 2026. </w:t>
      </w:r>
      <w:hyperlink r:id="rId37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https://aclanthology.org/2026.acl-long.723/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[29] Garbacea et al. </w:t>
      </w:r>
      <w:r>
        <w:rPr>
          <w:rFonts w:ascii="Calibri" w:hAnsi="Calibri" w:eastAsia="PingFang SC"/>
          <w:i/>
          <w:sz w:val="19"/>
        </w:rPr>
        <w:t>Personalized Benchmarking: Evaluating LLMs by Individual Preferences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4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https://aclanthology.org/2026.findings-acl.31/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[30] Feng et al. </w:t>
      </w:r>
      <w:r>
        <w:rPr>
          <w:rFonts w:ascii="Calibri" w:hAnsi="Calibri" w:eastAsia="PingFang SC"/>
          <w:i/>
          <w:sz w:val="19"/>
        </w:rPr>
        <w:t>How Does Personalized Memory Shape LLM Behavior?</w:t>
      </w:r>
      <w:r>
        <w:rPr>
          <w:rFonts w:ascii="Calibri" w:hAnsi="Calibri" w:eastAsia="PingFang SC"/>
          <w:sz w:val="19"/>
        </w:rPr>
        <w:t xml:space="preserve"> arXiv:2601.16621,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[31] Liang et al. </w:t>
      </w:r>
      <w:r>
        <w:rPr>
          <w:rFonts w:ascii="Calibri" w:hAnsi="Calibri" w:eastAsia="PingFang SC"/>
          <w:i/>
          <w:sz w:val="19"/>
        </w:rPr>
        <w:t>Learning Personalized Agents from Human Feedback</w:t>
      </w:r>
      <w:r>
        <w:rPr>
          <w:rFonts w:ascii="Calibri" w:hAnsi="Calibri" w:eastAsia="PingFang SC"/>
          <w:sz w:val="19"/>
        </w:rPr>
        <w:t>. arXiv:2602.16173,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[32] In et al. </w:t>
      </w:r>
      <w:r>
        <w:rPr>
          <w:rFonts w:ascii="Calibri" w:hAnsi="Calibri" w:eastAsia="PingFang SC"/>
          <w:i/>
          <w:sz w:val="19"/>
        </w:rPr>
        <w:t>Personalize-then-Store</w:t>
      </w:r>
      <w:r>
        <w:rPr>
          <w:rFonts w:ascii="Calibri" w:hAnsi="Calibri" w:eastAsia="PingFang SC"/>
          <w:sz w:val="19"/>
        </w:rPr>
        <w:t>. arXiv:2605.25535,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[33] Uddin et al. </w:t>
      </w:r>
      <w:r>
        <w:rPr>
          <w:rFonts w:ascii="Calibri" w:hAnsi="Calibri" w:eastAsia="PingFang SC"/>
          <w:i/>
          <w:sz w:val="19"/>
        </w:rPr>
        <w:t>From Recall to Forgetting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31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https://aclanthology.org/2026.findings-acl.1337/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[34] Hu et al. </w:t>
      </w:r>
      <w:r>
        <w:rPr>
          <w:rFonts w:ascii="Calibri" w:hAnsi="Calibri" w:eastAsia="PingFang SC"/>
          <w:i/>
          <w:sz w:val="19"/>
        </w:rPr>
        <w:t>CloneMem</w:t>
      </w:r>
      <w:r>
        <w:rPr>
          <w:rFonts w:ascii="Calibri" w:hAnsi="Calibri" w:eastAsia="PingFang SC"/>
          <w:sz w:val="19"/>
        </w:rPr>
        <w:t xml:space="preserve">. ACL, 2026. </w:t>
      </w:r>
      <w:hyperlink r:id="rId3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https://aclanthology.org/2026.acl-long.1549/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[35] Shen et al. </w:t>
      </w:r>
      <w:r>
        <w:rPr>
          <w:rFonts w:ascii="Calibri" w:hAnsi="Calibri" w:eastAsia="PingFang SC"/>
          <w:i/>
          <w:sz w:val="19"/>
        </w:rPr>
        <w:t>Mem2ActBench</w:t>
      </w:r>
      <w:r>
        <w:rPr>
          <w:rFonts w:ascii="Calibri" w:hAnsi="Calibri" w:eastAsia="PingFang SC"/>
          <w:sz w:val="19"/>
        </w:rPr>
        <w:t xml:space="preserve">. ACL, 2026. </w:t>
      </w:r>
      <w:hyperlink r:id="rId25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https://aclanthology.org/2026.acl-long.370/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[36] Chen et al. </w:t>
      </w:r>
      <w:r>
        <w:rPr>
          <w:rFonts w:ascii="Calibri" w:hAnsi="Calibri" w:eastAsia="PingFang SC"/>
          <w:i/>
          <w:sz w:val="19"/>
        </w:rPr>
        <w:t>Towards Preference Following in Tool Calling Language Agents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26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https://aclanthology.org/2026.findings-acl.1676/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[37] Lyu et al. </w:t>
      </w:r>
      <w:r>
        <w:rPr>
          <w:rFonts w:ascii="Calibri" w:hAnsi="Calibri" w:eastAsia="PingFang SC"/>
          <w:i/>
          <w:sz w:val="19"/>
        </w:rPr>
        <w:t>PersonalAlign</w:t>
      </w:r>
      <w:r>
        <w:rPr>
          <w:rFonts w:ascii="Calibri" w:hAnsi="Calibri" w:eastAsia="PingFang SC"/>
          <w:sz w:val="19"/>
        </w:rPr>
        <w:t xml:space="preserve">. ACL, 2026. </w:t>
      </w:r>
      <w:hyperlink r:id="rId43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https://aclanthology.org/2026.acl-long.1669/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[38] Wang et al. </w:t>
      </w:r>
      <w:r>
        <w:rPr>
          <w:rFonts w:ascii="Calibri" w:hAnsi="Calibri" w:eastAsia="PingFang SC"/>
          <w:i/>
          <w:sz w:val="19"/>
        </w:rPr>
        <w:t>OPeRA</w:t>
      </w:r>
      <w:r>
        <w:rPr>
          <w:rFonts w:ascii="Calibri" w:hAnsi="Calibri" w:eastAsia="PingFang SC"/>
          <w:sz w:val="19"/>
        </w:rPr>
        <w:t xml:space="preserve">. ACL, 2026. </w:t>
      </w:r>
      <w:hyperlink r:id="rId44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https://aclanthology.org/2026.acl-long.2033/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[39] Guo et al. </w:t>
      </w:r>
      <w:r>
        <w:rPr>
          <w:rFonts w:ascii="Calibri" w:hAnsi="Calibri" w:eastAsia="PingFang SC"/>
          <w:i/>
          <w:sz w:val="19"/>
        </w:rPr>
        <w:t>When Personalization Legitimizes Risks</w:t>
      </w:r>
      <w:r>
        <w:rPr>
          <w:rFonts w:ascii="Calibri" w:hAnsi="Calibri" w:eastAsia="PingFang SC"/>
          <w:sz w:val="19"/>
        </w:rPr>
        <w:t xml:space="preserve">. ACL, 2026. </w:t>
      </w:r>
      <w:hyperlink r:id="rId34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https://aclanthology.org/2026.acl-long.1260/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[40] Weeber et al. </w:t>
      </w:r>
      <w:r>
        <w:rPr>
          <w:rFonts w:ascii="Calibri" w:hAnsi="Calibri" w:eastAsia="PingFang SC"/>
          <w:i/>
          <w:sz w:val="19"/>
        </w:rPr>
        <w:t>One Persona, Many Cues, Different Results</w:t>
      </w:r>
      <w:r>
        <w:rPr>
          <w:rFonts w:ascii="Calibri" w:hAnsi="Calibri" w:eastAsia="PingFang SC"/>
          <w:sz w:val="19"/>
        </w:rPr>
        <w:t xml:space="preserve">. ACL, 2026. </w:t>
      </w:r>
      <w:hyperlink r:id="rId38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https://aclanthology.org/2026.acl-long.2079/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[41] Qiu et al. </w:t>
      </w:r>
      <w:r>
        <w:rPr>
          <w:rFonts w:ascii="Calibri" w:hAnsi="Calibri" w:eastAsia="PingFang SC"/>
          <w:i/>
          <w:sz w:val="19"/>
        </w:rPr>
        <w:t>Preference-Aware Rubric Learning for Personalized Evaluation</w:t>
      </w:r>
      <w:r>
        <w:rPr>
          <w:rFonts w:ascii="Calibri" w:hAnsi="Calibri" w:eastAsia="PingFang SC"/>
          <w:sz w:val="19"/>
        </w:rPr>
        <w:t xml:space="preserve">. arXiv:2605.31545, 2026. </w:t>
      </w:r>
      <w:hyperlink r:id="rId39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https://arxiv.org/abs/2605.31545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clanthology.org/2024.acl-long.399/" TargetMode="External"/><Relationship Id="rId17" Type="http://schemas.openxmlformats.org/officeDocument/2006/relationships/hyperlink" Target="https://aclanthology.org/2025.findings-acl.927/" TargetMode="External"/><Relationship Id="rId18" Type="http://schemas.openxmlformats.org/officeDocument/2006/relationships/hyperlink" Target="https://arxiv.org/abs/2504.14225" TargetMode="External"/><Relationship Id="rId19" Type="http://schemas.openxmlformats.org/officeDocument/2006/relationships/hyperlink" Target="https://arxiv.org/abs/2607.27056" TargetMode="External"/><Relationship Id="rId20" Type="http://schemas.openxmlformats.org/officeDocument/2006/relationships/hyperlink" Target="https://arxiv.org/abs/2607.20482" TargetMode="External"/><Relationship Id="rId21" Type="http://schemas.openxmlformats.org/officeDocument/2006/relationships/hyperlink" Target="https://arxiv.org/abs/2607.03162" TargetMode="External"/><Relationship Id="rId22" Type="http://schemas.openxmlformats.org/officeDocument/2006/relationships/hyperlink" Target="https://aclanthology.org/2024.emnlp-industry.37/" TargetMode="External"/><Relationship Id="rId23" Type="http://schemas.openxmlformats.org/officeDocument/2006/relationships/hyperlink" Target="https://aclanthology.org/2025.acl-long.1064/" TargetMode="External"/><Relationship Id="rId24" Type="http://schemas.openxmlformats.org/officeDocument/2006/relationships/hyperlink" Target="https://arxiv.org/abs/2505.13176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clanthology.org/2026.findings-acl.1676/" TargetMode="External"/><Relationship Id="rId27" Type="http://schemas.openxmlformats.org/officeDocument/2006/relationships/hyperlink" Target="https://arxiv.org/abs/2607.15948" TargetMode="External"/><Relationship Id="rId28" Type="http://schemas.openxmlformats.org/officeDocument/2006/relationships/hyperlink" Target="https://arxiv.org/abs/2601.16621" TargetMode="External"/><Relationship Id="rId29" Type="http://schemas.openxmlformats.org/officeDocument/2006/relationships/hyperlink" Target="https://arxiv.org/abs/2602.16173" TargetMode="External"/><Relationship Id="rId30" Type="http://schemas.openxmlformats.org/officeDocument/2006/relationships/hyperlink" Target="https://arxiv.org/abs/2605.25535" TargetMode="External"/><Relationship Id="rId31" Type="http://schemas.openxmlformats.org/officeDocument/2006/relationships/hyperlink" Target="https://aclanthology.org/2026.findings-acl.1337/" TargetMode="External"/><Relationship Id="rId32" Type="http://schemas.openxmlformats.org/officeDocument/2006/relationships/hyperlink" Target="https://aclanthology.org/2026.acl-long.1549/" TargetMode="External"/><Relationship Id="rId33" Type="http://schemas.openxmlformats.org/officeDocument/2006/relationships/hyperlink" Target="https://arxiv.org/abs/2607.10526" TargetMode="External"/><Relationship Id="rId34" Type="http://schemas.openxmlformats.org/officeDocument/2006/relationships/hyperlink" Target="https://aclanthology.org/2026.acl-long.1260/" TargetMode="External"/><Relationship Id="rId35" Type="http://schemas.openxmlformats.org/officeDocument/2006/relationships/hyperlink" Target="https://arxiv.org/abs/2509.25106" TargetMode="External"/><Relationship Id="rId36" Type="http://schemas.openxmlformats.org/officeDocument/2006/relationships/hyperlink" Target="https://arxiv.org/abs/2605.10530" TargetMode="External"/><Relationship Id="rId37" Type="http://schemas.openxmlformats.org/officeDocument/2006/relationships/hyperlink" Target="https://aclanthology.org/2026.acl-long.723/" TargetMode="External"/><Relationship Id="rId38" Type="http://schemas.openxmlformats.org/officeDocument/2006/relationships/hyperlink" Target="https://aclanthology.org/2026.acl-long.2079/" TargetMode="External"/><Relationship Id="rId39" Type="http://schemas.openxmlformats.org/officeDocument/2006/relationships/hyperlink" Target="https://arxiv.org/abs/2605.31545" TargetMode="External"/><Relationship Id="rId40" Type="http://schemas.openxmlformats.org/officeDocument/2006/relationships/hyperlink" Target="https://evalscope.readthedocs.io/en/refact_readme/get_started/introduction.html" TargetMode="External"/><Relationship Id="rId41" Type="http://schemas.openxmlformats.org/officeDocument/2006/relationships/hyperlink" Target="https://aclanthology.org/2025.emnlp-main.1711/" TargetMode="External"/><Relationship Id="rId42" Type="http://schemas.openxmlformats.org/officeDocument/2006/relationships/hyperlink" Target="https://aclanthology.org/2026.findings-acl.31/" TargetMode="External"/><Relationship Id="rId43" Type="http://schemas.openxmlformats.org/officeDocument/2006/relationships/hyperlink" Target="https://aclanthology.org/2026.acl-long.1669/" TargetMode="External"/><Relationship Id="rId44" Type="http://schemas.openxmlformats.org/officeDocument/2006/relationships/hyperlink" Target="https://aclanthology.org/2026.acl-long.203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