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v0.21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已能够评价 task–persona 条件下的适配质量。当前缺口不是其 rubric 或 judge 不够细，而是缺少一个在广义 Deep Research 最终交付物上从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 xml:space="preserve"> 的协议。本项目拟构建 DeepAlign-Bench：固定任务与证据，交换两个都合理的目标用户，检验交付物差异是否由目标用户条件驱动，并用预冻结契约约束有效变化。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2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或动态用户上下文接入 Deep Research；</w:t>
      </w:r>
      <w:hyperlink r:id="rId2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PDR-Bench 的 P-Score 按 task/persona 生成权重与子标准，已经能回答：</w:t>
      </w:r>
      <w:r>
        <w:rPr>
          <w:rFonts w:ascii="Calibri" w:hAnsi="Calibri" w:eastAsia="PingFang SC"/>
          <w:b/>
        </w:rPr>
        <w:t>给定这个 task 和 persona，这份报告是否适合该用户？</w:t>
      </w:r>
      <w:r>
        <w:rPr>
          <w:rFonts w:ascii="Calibri" w:hAnsi="Calibri" w:eastAsia="PingFang SC"/>
        </w:rPr>
        <w:t xml:space="preserve"> 其同一 user-query 下的 agent-report pairwise 人评同样服务于这个 absolute adaptation 问题。DeepAlign 不否定这套评价，而是改变 estimand：</w:t>
      </w:r>
      <w:r>
        <w:rPr>
          <w:rFonts w:ascii="Calibri" w:hAnsi="Calibri" w:eastAsia="PingFang SC"/>
          <w:b/>
        </w:rPr>
        <w:t>固定任务、证据、工具和预算，只交换两个都合理的目标用户，哪份最终交付物仍然更适合谁？</w:t>
      </w:r>
      <w:r>
        <w:rPr>
          <w:rFonts w:ascii="Calibri" w:hAnsi="Calibri" w:eastAsia="PingFang SC"/>
        </w:rPr>
        <w:t xml:space="preserve"> 为此构造跨用户 matched/swapped 评分矩阵，并在输出前冻结 must-change / must-hold / must-not：输出有差异但方向错误、共同事实被破坏或 persona 被过度推断，都不能被算作有效 personalization。进一步地，matched/swapped 只能识别结果层效应，不能证明内部理解；同一 persona 的不同表达线索可能显著改变模型行为，</w:t>
      </w:r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r>
        <w:rPr>
          <w:rFonts w:ascii="Calibri" w:hAnsi="Calibri" w:eastAsia="PingFang SC"/>
        </w:rPr>
        <w:t xml:space="preserve"> 而可靠个性化评价还需同时满足代表性、用户一致性和区分力。</w:t>
      </w:r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2"/>
          <w:footerReference w:type="default" r:id="rId3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区分力、cue-equivalence 稳健性、无关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交叉评分矩阵和三类预冻结契约识别方向正确、边界受控的用户特异变化；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运行位置交换、长度匹配、关键词诱饵和弃权测试；这是 judge 审计，不是相对 PDR-Bench 的主 gap。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ACL, 2026. </w:t>
      </w:r>
      <w:hyperlink r:id="rId3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r>
        <w:rPr>
          <w:rFonts w:ascii="Calibri" w:hAnsi="Calibri" w:eastAsia="PingFang SC"/>
          <w:i/>
          <w:sz w:val="15"/>
        </w:rPr>
        <w:t>Preference-Aware Rubric Learning for Personalized Evaluation</w:t>
      </w:r>
      <w:r>
        <w:rPr>
          <w:rFonts w:ascii="Calibri" w:hAnsi="Calibri" w:eastAsia="PingFang SC"/>
          <w:sz w:val="15"/>
        </w:rPr>
        <w:t xml:space="preserve">. arXiv:2605.31545, 2026. </w:t>
      </w:r>
      <w:hyperlink r:id="rId3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35"/>
      <w:footerReference w:type="default" r:id="rId3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10.14240" TargetMode="External"/><Relationship Id="rId18" Type="http://schemas.openxmlformats.org/officeDocument/2006/relationships/hyperlink" Target="https://openai.com/index/paperbench/" TargetMode="External"/><Relationship Id="rId19" Type="http://schemas.openxmlformats.org/officeDocument/2006/relationships/hyperlink" Target="https://arxiv.org/abs/2605.19276" TargetMode="External"/><Relationship Id="rId20" Type="http://schemas.openxmlformats.org/officeDocument/2006/relationships/hyperlink" Target="https://evalscope.readthedocs.io/en/refact_readme/get_started/introduction.html" TargetMode="External"/><Relationship Id="rId21" Type="http://schemas.openxmlformats.org/officeDocument/2006/relationships/hyperlink" Target="https://arxiv.org/abs/2607.27056" TargetMode="External"/><Relationship Id="rId22" Type="http://schemas.openxmlformats.org/officeDocument/2006/relationships/hyperlink" Target="https://arxiv.org/abs/2607.20482" TargetMode="External"/><Relationship Id="rId23" Type="http://schemas.openxmlformats.org/officeDocument/2006/relationships/hyperlink" Target="https://arxiv.org/abs/2607.03162" TargetMode="External"/><Relationship Id="rId24" Type="http://schemas.openxmlformats.org/officeDocument/2006/relationships/hyperlink" Target="https://aclanthology.org/2026.acl-long.370/" TargetMode="External"/><Relationship Id="rId25" Type="http://schemas.openxmlformats.org/officeDocument/2006/relationships/hyperlink" Target="https://arxiv.org/abs/2607.15948" TargetMode="External"/><Relationship Id="rId26" Type="http://schemas.openxmlformats.org/officeDocument/2006/relationships/hyperlink" Target="https://arxiv.org/abs/2602.16173" TargetMode="External"/><Relationship Id="rId27" Type="http://schemas.openxmlformats.org/officeDocument/2006/relationships/hyperlink" Target="https://arxiv.org/abs/2607.10526" TargetMode="External"/><Relationship Id="rId28" Type="http://schemas.openxmlformats.org/officeDocument/2006/relationships/hyperlink" Target="https://aclanthology.org/2026.acl-long.1260/" TargetMode="External"/><Relationship Id="rId29" Type="http://schemas.openxmlformats.org/officeDocument/2006/relationships/hyperlink" Target="https://arxiv.org/abs/2509.25106" TargetMode="External"/><Relationship Id="rId30" Type="http://schemas.openxmlformats.org/officeDocument/2006/relationships/hyperlink" Target="https://aclanthology.org/2026.acl-long.2079/" TargetMode="External"/><Relationship Id="rId31" Type="http://schemas.openxmlformats.org/officeDocument/2006/relationships/hyperlink" Target="https://arxiv.org/abs/2605.31545" TargetMode="External"/><Relationship Id="rId32" Type="http://schemas.openxmlformats.org/officeDocument/2006/relationships/header" Target="header2.xml"/><Relationship Id="rId33" Type="http://schemas.openxmlformats.org/officeDocument/2006/relationships/footer" Target="footer2.xml"/><Relationship Id="rId34" Type="http://schemas.openxmlformats.org/officeDocument/2006/relationships/image" Target="media/image1.png"/><Relationship Id="rId35" Type="http://schemas.openxmlformats.org/officeDocument/2006/relationships/header" Target="header3.xml"/><Relationship Id="rId3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