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v0.21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从 absolute adaptation evaluation 转向 counterfactual personalization effect identification：测同一任务下哪份结果更适合哪位用户。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已有工作已经测到用户理解、历史利用、工具行动、动态记忆和个性化 Deep Research。我们要补的不是又一块能力，而是一个结果识别问题：</w:t>
      </w:r>
      <w:r>
        <w:rPr>
          <w:rFonts w:ascii="Calibri" w:hAnsi="Calibri" w:eastAsia="PingFang SC"/>
          <w:b/>
        </w:rPr>
        <w:t>同一任务和证据下，agent 能不能为不同用户交付不同但都正确、且各自更适合目标用户的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个性化评价已经经历三步。第一，Setoka、PersonaTrail/APeB 证明 agent 的用户信号可以来自异构记录、浏览轨迹与行为历史；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第二，ETAPP 与 Mem2ActBench 已把这些信号落实到工具选择和参数，PAHF 还加入澄清、反馈和偏好漂移。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第三，PDR-Bench 和另一项 PDR 工作已经进入个性化 Deep Research；MyScholarQA 则发现合成用户与 LLM judge 会漏掉真人指出的细微错误。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PDR-Bench 的 task/persona-conditioned P-Score 已经能够评价给定用户条件下的报告适配质量。</w:t>
      </w:r>
    </w:p>
    <w:p>
      <w:r>
        <w:rPr>
          <w:rFonts w:ascii="Calibri" w:hAnsi="Calibri" w:eastAsia="PingFang SC"/>
        </w:rPr>
        <w:t xml:space="preserve">因此，DeepAlign 的创新不是把 PDR-Bench 的 rubric 做得更细，而是把估计对象从 </w:t>
      </w:r>
      <w:r>
        <w:rPr>
          <w:rFonts w:ascii="Calibri" w:hAnsi="Calibri" w:eastAsia="PingFang SC"/>
          <w:b/>
        </w:rPr>
        <w:t>absolute adaptation evaluation</w:t>
      </w:r>
      <w:r>
        <w:rPr>
          <w:rFonts w:ascii="Calibri" w:hAnsi="Calibri" w:eastAsia="PingFang SC"/>
        </w:rPr>
        <w:t xml:space="preserve"> 改为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：固定任务、证据、工具和预算，只交换两个都合理的用户；让两套用户 rubric 交叉评价两份交付物，并用预冻结 must-change / must-hold / must-not 检查必要变化、共同不变项和禁止过度推断。</w:t>
      </w:r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swapped，同时事实和共同质量不下降，才支持“交付物对目标用户具有反事实特异性”。这不证明模型内部真正理解了用户；还需让同一 user-state 以 persona、自然历史、澄清对话和去关键词改写表达，检查核心结论是否稳定。不同 persona cue 会改变测量结论，</w:t>
      </w:r>
      <w:hyperlink r:id="rId20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r>
        <w:rPr>
          <w:rFonts w:ascii="Calibri" w:hAnsi="Calibri" w:eastAsia="PingFang SC"/>
        </w:rPr>
        <w:t xml:space="preserve"> 个性化 rubric 也应同时检查代表性、一致性和区分力。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[22]</w:t>
        </w:r>
      </w:hyperlink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至少 20% 输出；专家评事实，目标用户评 matched/swapped；加关键失败仲裁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296" w:right="1296" w:bottom="1296" w:left="1296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识别结果特异性。</w:t>
      </w:r>
    </w:p>
    <w:p>
      <w:pPr>
        <w:sectPr>
          <w:headerReference w:type="default" r:id="rId22"/>
          <w:footerReference w:type="default" r:id="rId2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Update/Recover：用户纠正后能否更新和恢复。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agent：商业 Deep Research、统一搜索/工具 harness、可复现开源 Deep Research。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所有 anchor 都有 clean + persona swap + irrelevant-signal 配对；冲突/过期、context dilution、agent handoff、动态更新按预注册适用性分配。Re-anchor 是恢复干预，不是攻击类型；固定子集无论是否先失败都重跑，避免高估恢复收益。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correctness、recovery gain；同时报告 TQ、事实性、隐私和长度副作用。</w:t>
      </w:r>
    </w:p>
    <w:p>
      <w:r>
        <w:rPr>
          <w:rFonts w:ascii="Calibri" w:hAnsi="Calibri" w:eastAsia="PingFang SC"/>
        </w:rPr>
        <w:t>Frozen Core、Live Web、Longitudinal 三条轨道分开报告；不同工具预算和不可复现产品不混成一个榜。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Core + Personalization + Intent + Deliverable + Operator + Risk</w:t>
        <w:br/>
        <w:t>→ 当前 case 的 rubric</w:t>
      </w:r>
    </w:p>
    <w:p>
      <w:r>
        <w:rPr>
          <w:rFonts w:ascii="Calibri" w:hAnsi="Calibri" w:eastAsia="PingFang SC"/>
        </w:rPr>
        <w:t>统一的是 rubric 叶节点格式、适用条件和校准程序，不是让报告、代码、表格和幻灯共享同一张评分表。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Worst-view CFA / Cue 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同一 user-state 换表达后是否仍稳定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Recovery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纠正或重新锚定后恢复多少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re-anchor 的受控重跑。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构造跨用户 2×2 对角优势，并用语义等价信号检查表面 cue 敏感性；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PDR-Bench 已解决 task–persona 条件下的 absolute adaptation evaluation。DeepAlign 的核心差异只有一条：转向 counterfactual personalization effect identification，以跨用户 matched/swapped 对角优势和预冻结 must-change/must-hold/must-not 识别方向正确且边界受控的用户特异变化。跨线索、动态/长程测试与独立 JudgeBench 是稳健性和诊断支持，不是对 PDR-Bench rubric/judge 的否定。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是否同意将“跨用户 counterfactual personalization effect identification”锁定为唯一核心方法贡献，Atlas 与 rubric compiler 作为实现和外部效度支撑？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[1] OpenCompass Team. </w:t>
      </w:r>
      <w:r>
        <w:rPr>
          <w:rFonts w:ascii="Calibri" w:hAnsi="Calibri" w:eastAsia="PingFang SC"/>
          <w:i/>
          <w:sz w:val="16"/>
        </w:rPr>
        <w:t>OpenCompass: A Universal Evaluation Platform for Large Language Models</w:t>
      </w:r>
      <w:r>
        <w:rPr>
          <w:rFonts w:ascii="Calibri" w:hAnsi="Calibri" w:eastAsia="PingFang SC"/>
          <w:sz w:val="16"/>
        </w:rPr>
        <w:t>. 2026.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[2] Zhang et al. </w:t>
      </w:r>
      <w:r>
        <w:rPr>
          <w:rFonts w:ascii="Calibri" w:hAnsi="Calibri" w:eastAsia="PingFang SC"/>
          <w:i/>
          <w:sz w:val="16"/>
        </w:rPr>
        <w:t>Agent-SafetyBench</w:t>
      </w:r>
      <w:r>
        <w:rPr>
          <w:rFonts w:ascii="Calibri" w:hAnsi="Calibri" w:eastAsia="PingFang SC"/>
          <w:sz w:val="16"/>
        </w:rPr>
        <w:t>. arXiv:2412.14470.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>. arXiv:2509.25106.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[4] Wang et al. </w:t>
      </w:r>
      <w:r>
        <w:rPr>
          <w:rFonts w:ascii="Calibri" w:hAnsi="Calibri" w:eastAsia="PingFang SC"/>
          <w:i/>
          <w:sz w:val="16"/>
        </w:rPr>
        <w:t>LiveResearchBench</w:t>
      </w:r>
      <w:r>
        <w:rPr>
          <w:rFonts w:ascii="Calibri" w:hAnsi="Calibri" w:eastAsia="PingFang SC"/>
          <w:sz w:val="16"/>
        </w:rPr>
        <w:t>. arXiv:2510.14240.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[5] Sharma et al. </w:t>
      </w:r>
      <w:r>
        <w:rPr>
          <w:rFonts w:ascii="Calibri" w:hAnsi="Calibri" w:eastAsia="PingFang SC"/>
          <w:i/>
          <w:sz w:val="16"/>
        </w:rPr>
        <w:t>ResearchRubrics</w:t>
      </w:r>
      <w:r>
        <w:rPr>
          <w:rFonts w:ascii="Calibri" w:hAnsi="Calibri" w:eastAsia="PingFang SC"/>
          <w:sz w:val="16"/>
        </w:rPr>
        <w:t>. arXiv:2511.07685.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[6] Liang et al. </w:t>
      </w:r>
      <w:r>
        <w:rPr>
          <w:rFonts w:ascii="Calibri" w:hAnsi="Calibri" w:eastAsia="PingFang SC"/>
          <w:i/>
          <w:sz w:val="16"/>
        </w:rPr>
        <w:t>HELM</w:t>
      </w:r>
      <w:r>
        <w:rPr>
          <w:rFonts w:ascii="Calibri" w:hAnsi="Calibri" w:eastAsia="PingFang SC"/>
          <w:sz w:val="16"/>
        </w:rPr>
        <w:t>. TMLR, 2023.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[7] Ribeiro et al. </w:t>
      </w:r>
      <w:r>
        <w:rPr>
          <w:rFonts w:ascii="Calibri" w:hAnsi="Calibri" w:eastAsia="PingFang SC"/>
          <w:i/>
          <w:sz w:val="16"/>
        </w:rPr>
        <w:t>CheckList</w:t>
      </w:r>
      <w:r>
        <w:rPr>
          <w:rFonts w:ascii="Calibri" w:hAnsi="Calibri" w:eastAsia="PingFang SC"/>
          <w:sz w:val="16"/>
        </w:rPr>
        <w:t>. ACL, 2020.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[8] Reuel et al. </w:t>
      </w:r>
      <w:r>
        <w:rPr>
          <w:rFonts w:ascii="Calibri" w:hAnsi="Calibri" w:eastAsia="PingFang SC"/>
          <w:i/>
          <w:sz w:val="16"/>
        </w:rPr>
        <w:t>BetterBench</w:t>
      </w:r>
      <w:r>
        <w:rPr>
          <w:rFonts w:ascii="Calibri" w:hAnsi="Calibri" w:eastAsia="PingFang SC"/>
          <w:sz w:val="16"/>
        </w:rPr>
        <w:t>. arXiv:2411.12990.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[9] Zeng et al. </w:t>
      </w:r>
      <w:r>
        <w:rPr>
          <w:rFonts w:ascii="Calibri" w:hAnsi="Calibri" w:eastAsia="PingFang SC"/>
          <w:i/>
          <w:sz w:val="16"/>
        </w:rPr>
        <w:t>Setoka</w:t>
      </w:r>
      <w:r>
        <w:rPr>
          <w:rFonts w:ascii="Calibri" w:hAnsi="Calibri" w:eastAsia="PingFang SC"/>
          <w:sz w:val="16"/>
        </w:rPr>
        <w:t>. arXiv:2607.27056.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[10] Qian et al. </w:t>
      </w:r>
      <w:r>
        <w:rPr>
          <w:rFonts w:ascii="Calibri" w:hAnsi="Calibri" w:eastAsia="PingFang SC"/>
          <w:i/>
          <w:sz w:val="16"/>
        </w:rPr>
        <w:t>User-Conditioned Evaluation under Temporal Interventions</w:t>
      </w:r>
      <w:r>
        <w:rPr>
          <w:rFonts w:ascii="Calibri" w:hAnsi="Calibri" w:eastAsia="PingFang SC"/>
          <w:sz w:val="16"/>
        </w:rPr>
        <w:t>. arXiv:2607.21635.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[11] Yang et al. </w:t>
      </w:r>
      <w:r>
        <w:rPr>
          <w:rFonts w:ascii="Calibri" w:hAnsi="Calibri" w:eastAsia="PingFang SC"/>
          <w:i/>
          <w:sz w:val="16"/>
        </w:rPr>
        <w:t>PersonaTrail</w:t>
      </w:r>
      <w:r>
        <w:rPr>
          <w:rFonts w:ascii="Calibri" w:hAnsi="Calibri" w:eastAsia="PingFang SC"/>
          <w:sz w:val="16"/>
        </w:rPr>
        <w:t>. arXiv:2607.20482.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[12] Todisco et al. </w:t>
      </w:r>
      <w:r>
        <w:rPr>
          <w:rFonts w:ascii="Calibri" w:hAnsi="Calibri" w:eastAsia="PingFang SC"/>
          <w:i/>
          <w:sz w:val="16"/>
        </w:rPr>
        <w:t>TARS</w:t>
      </w:r>
      <w:r>
        <w:rPr>
          <w:rFonts w:ascii="Calibri" w:hAnsi="Calibri" w:eastAsia="PingFang SC"/>
          <w:sz w:val="16"/>
        </w:rPr>
        <w:t>. arXiv:2607.15948.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[13] Yang. </w:t>
      </w:r>
      <w:r>
        <w:rPr>
          <w:rFonts w:ascii="Calibri" w:hAnsi="Calibri" w:eastAsia="PingFang SC"/>
          <w:i/>
          <w:sz w:val="16"/>
        </w:rPr>
        <w:t>SARSI Agents for Personal Singularity</w:t>
      </w:r>
      <w:r>
        <w:rPr>
          <w:rFonts w:ascii="Calibri" w:hAnsi="Calibri" w:eastAsia="PingFang SC"/>
          <w:sz w:val="16"/>
        </w:rPr>
        <w:t>. arXiv:2607.12254.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[14] Mao et al. </w:t>
      </w:r>
      <w:r>
        <w:rPr>
          <w:rFonts w:ascii="Calibri" w:hAnsi="Calibri" w:eastAsia="PingFang SC"/>
          <w:i/>
          <w:sz w:val="16"/>
        </w:rPr>
        <w:t>Agents Don't Just Agree, They Remember</w:t>
      </w:r>
      <w:r>
        <w:rPr>
          <w:rFonts w:ascii="Calibri" w:hAnsi="Calibri" w:eastAsia="PingFang SC"/>
          <w:sz w:val="16"/>
        </w:rPr>
        <w:t>. arXiv:2607.10526.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[15] Yang et al. </w:t>
      </w:r>
      <w:r>
        <w:rPr>
          <w:rFonts w:ascii="Calibri" w:hAnsi="Calibri" w:eastAsia="PingFang SC"/>
          <w:i/>
          <w:sz w:val="16"/>
        </w:rPr>
        <w:t>APeB</w:t>
      </w:r>
      <w:r>
        <w:rPr>
          <w:rFonts w:ascii="Calibri" w:hAnsi="Calibri" w:eastAsia="PingFang SC"/>
          <w:sz w:val="16"/>
        </w:rPr>
        <w:t>. arXiv:2607.03162.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[16] Hao et al. </w:t>
      </w:r>
      <w:r>
        <w:rPr>
          <w:rFonts w:ascii="Calibri" w:hAnsi="Calibri" w:eastAsia="PingFang SC"/>
          <w:i/>
          <w:sz w:val="16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6"/>
        </w:rPr>
        <w:t xml:space="preserve">. ACL, 2025. </w:t>
      </w:r>
      <w:hyperlink r:id="rId1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https://aclanthology.org/2025.acl-long.1064/</w:t>
        </w:r>
      </w:hyperlink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[17] Li et al. </w:t>
      </w:r>
      <w:r>
        <w:rPr>
          <w:rFonts w:ascii="Calibri" w:hAnsi="Calibri" w:eastAsia="PingFang SC"/>
          <w:i/>
          <w:sz w:val="16"/>
        </w:rPr>
        <w:t>Personalized Deep Research: A User-Centric Framework, Dataset, and Hybrid Evaluation</w:t>
      </w:r>
      <w:r>
        <w:rPr>
          <w:rFonts w:ascii="Calibri" w:hAnsi="Calibri" w:eastAsia="PingFang SC"/>
          <w:sz w:val="16"/>
        </w:rPr>
        <w:t>. arXiv:2605.10530.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[18] Liang et al. </w:t>
      </w:r>
      <w:r>
        <w:rPr>
          <w:rFonts w:ascii="Calibri" w:hAnsi="Calibri" w:eastAsia="PingFang SC"/>
          <w:i/>
          <w:sz w:val="16"/>
        </w:rPr>
        <w:t>Learning Personalized Agents from Human Feedback</w:t>
      </w:r>
      <w:r>
        <w:rPr>
          <w:rFonts w:ascii="Calibri" w:hAnsi="Calibri" w:eastAsia="PingFang SC"/>
          <w:sz w:val="16"/>
        </w:rPr>
        <w:t>. arXiv:2602.16173.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[19] Shen et al. </w:t>
      </w:r>
      <w:r>
        <w:rPr>
          <w:rFonts w:ascii="Calibri" w:hAnsi="Calibri" w:eastAsia="PingFang SC"/>
          <w:i/>
          <w:sz w:val="16"/>
        </w:rPr>
        <w:t>Mem2ActBench</w:t>
      </w:r>
      <w:r>
        <w:rPr>
          <w:rFonts w:ascii="Calibri" w:hAnsi="Calibri" w:eastAsia="PingFang SC"/>
          <w:sz w:val="16"/>
        </w:rPr>
        <w:t xml:space="preserve">. ACL, 2026. </w:t>
      </w:r>
      <w:hyperlink r:id="rId1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https://aclanthology.org/2026.acl-long.370/</w:t>
        </w:r>
      </w:hyperlink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[20] Balepur et al. </w:t>
      </w:r>
      <w:r>
        <w:rPr>
          <w:rFonts w:ascii="Calibri" w:hAnsi="Calibri" w:eastAsia="PingFang SC"/>
          <w:i/>
          <w:sz w:val="16"/>
        </w:rPr>
        <w:t>Language Models Don't Know What You Want</w:t>
      </w:r>
      <w:r>
        <w:rPr>
          <w:rFonts w:ascii="Calibri" w:hAnsi="Calibri" w:eastAsia="PingFang SC"/>
          <w:sz w:val="16"/>
        </w:rPr>
        <w:t xml:space="preserve">. ACL, 2026.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[21] Weeber et al. </w:t>
      </w:r>
      <w:r>
        <w:rPr>
          <w:rFonts w:ascii="Calibri" w:hAnsi="Calibri" w:eastAsia="PingFang SC"/>
          <w:i/>
          <w:sz w:val="16"/>
        </w:rPr>
        <w:t>One Persona, Many Cues, Different Results</w:t>
      </w:r>
      <w:r>
        <w:rPr>
          <w:rFonts w:ascii="Calibri" w:hAnsi="Calibri" w:eastAsia="PingFang SC"/>
          <w:sz w:val="16"/>
        </w:rPr>
        <w:t xml:space="preserve">. ACL, 2026.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[22] Qiu et al. </w:t>
      </w:r>
      <w:r>
        <w:rPr>
          <w:rFonts w:ascii="Calibri" w:hAnsi="Calibri" w:eastAsia="PingFang SC"/>
          <w:i/>
          <w:sz w:val="16"/>
        </w:rPr>
        <w:t>Preference-Aware Rubric Learning for Personalized Evaluation</w:t>
      </w:r>
      <w:r>
        <w:rPr>
          <w:rFonts w:ascii="Calibri" w:hAnsi="Calibri" w:eastAsia="PingFang SC"/>
          <w:sz w:val="16"/>
        </w:rPr>
        <w:t xml:space="preserve">. arXiv:2605.31545, 2026.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25"/>
      <w:footerReference w:type="default" r:id="rId26"/>
      <w:pgSz w:w="12240" w:h="15840"/>
      <w:pgMar w:top="1296" w:right="1296" w:bottom="1296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0482" TargetMode="External"/><Relationship Id="rId13" Type="http://schemas.openxmlformats.org/officeDocument/2006/relationships/hyperlink" Target="https://arxiv.org/abs/2607.03162" TargetMode="External"/><Relationship Id="rId14" Type="http://schemas.openxmlformats.org/officeDocument/2006/relationships/hyperlink" Target="https://aclanthology.org/2025.acl-long.1064/" TargetMode="External"/><Relationship Id="rId15" Type="http://schemas.openxmlformats.org/officeDocument/2006/relationships/hyperlink" Target="https://aclanthology.org/2026.acl-long.370/" TargetMode="External"/><Relationship Id="rId16" Type="http://schemas.openxmlformats.org/officeDocument/2006/relationships/hyperlink" Target="https://arxiv.org/abs/2602.16173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605.10530" TargetMode="External"/><Relationship Id="rId19" Type="http://schemas.openxmlformats.org/officeDocument/2006/relationships/hyperlink" Target="https://aclanthology.org/2026.acl-long.723/" TargetMode="External"/><Relationship Id="rId20" Type="http://schemas.openxmlformats.org/officeDocument/2006/relationships/hyperlink" Target="https://aclanthology.org/2026.acl-long.2079/" TargetMode="External"/><Relationship Id="rId21" Type="http://schemas.openxmlformats.org/officeDocument/2006/relationships/hyperlink" Target="https://arxiv.org/abs/2605.31545" TargetMode="Externa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image" Target="media/image1.png"/><Relationship Id="rId25" Type="http://schemas.openxmlformats.org/officeDocument/2006/relationships/header" Target="header3.xml"/><Relationship Id="rId2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