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v0.30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同一任务和证据下，只改变用户；匹配结果要在两个用户方向都优于错配，并且相对 task-only 真的有帮助。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同一任务换一个同样合理的用户后，交付物是否在该变的地方变化、在不该变的地方保持？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输出做人评。领域专家负责事实和共同质量，目标用户负责判断 matched/swapped 哪份更适合自己；合成 persona 不能代替这一步。这个规模用于验证方法，不声称覆盖所有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完全一致。主榜评最终交付物；轻量轨迹和受控压力分叉只用于解释保持、偏离与更新。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还发现，合成用户和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会根据 task 和 persona 生成 P-Score 的权重与子标准，再评价目标、内容、呈现和可行动性；它已经能表达“给定这个 task 和 persona，这份报告有多适合该用户”这一 absolute adaptation 问题。</w:t>
      </w:r>
    </w:p>
    <w:p>
      <w:r>
        <w:rPr>
          <w:rFonts w:ascii="Calibri" w:hAnsi="Calibri" w:eastAsia="PingFang SC"/>
        </w:rPr>
        <w:t>DeepAlign 不重复回答这个问题，而是换一个 estimand：</w:t>
      </w:r>
      <w:r>
        <w:rPr>
          <w:rFonts w:ascii="Calibri" w:hAnsi="Calibri" w:eastAsia="PingFang SC"/>
          <w:b/>
        </w:rPr>
        <w:t>同一任务和证据换成另一个同样合理的用户后，两份报告是否各自更适合自己的用户？</w:t>
      </w:r>
      <w:r>
        <w:rPr>
          <w:rFonts w:ascii="Calibri" w:hAnsi="Calibri" w:eastAsia="PingFang SC"/>
        </w:rPr>
        <w:t xml:space="preserve"> PDR-Bench 的 pairwise 比较回答“同一用户下哪个 agent 报告更好”；DeepAlign 的跨用户 2×2 matched/swapped 矩阵回答“只改变用户条件后，输出是否发生方向正确的变化”。这就是从 absolute adaptation evaluation 到 counterfactual personalization effect identification。</w:t>
      </w:r>
    </w:p>
    <w:p>
      <w:r>
        <w:rPr>
          <w:rFonts w:ascii="Calibri" w:hAnsi="Calibri" w:eastAsia="PingFang SC"/>
        </w:rPr>
        <w:t>仅仅看到两份输出不同还不够。</w:t>
      </w: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 xml:space="preserve"> 规定哪些决策必须随用户改变；</w:t>
      </w: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 xml:space="preserve"> 规定哪些事实、证据和共同质量不能改变；</w:t>
      </w: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 xml:space="preserve"> 规定不能因为 persona 就额外推断、迎合或泄露什么。三者共同防止把随机差异、质量下降或过度个性化误认为有效 personalization。</w:t>
      </w:r>
    </w:p>
    <w:p>
      <w:r>
        <w:rPr>
          <w:rFonts w:ascii="Calibri" w:hAnsi="Calibri" w:eastAsia="PingFang SC"/>
        </w:rPr>
        <w:t>但是 PDR-Bench 的自动评价不能被写成已经完全解决。它在 15 个 query、两个 agent 上做人类校准，最好的 GPT-5 judge 与人类 pairwise 顺序一致率只有 0.43，平均评分偏差为 1.40。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另外，权重/子标准由一次 LLM 生成、分数再由另一个 LLM 生成，量尺本身可能波动；human panel 也不等于 persona 本人；事实分还依赖 claim 抽取、去重、网页抓取和支持判断；P/Q/R 平均又可能让事实失败被其他分补回来。正确说法是：</w:t>
      </w:r>
      <w:r>
        <w:rPr>
          <w:rFonts w:ascii="Calibri" w:hAnsi="Calibri" w:eastAsia="PingFang SC"/>
          <w:b/>
        </w:rPr>
        <w:t>PDR 的 rubric 已经能表示 absolute adaptation，但其 judge 校准和评分链条仍不足以直接支撑精细、跨系统的榜单。</w:t>
      </w:r>
    </w:p>
    <w:p>
      <w:r>
        <w:rPr>
          <w:rFonts w:ascii="Calibri" w:hAnsi="Calibri" w:eastAsia="PingFang SC"/>
        </w:rPr>
        <w:t>还要避免另一个过度主张：matched/swapped 通过，也不能证明模型内部“真的理解了用户”。模型可能只是看到“不懂 AI”就调用短报告模板。为此我们要再检查：同一用户需求改写成结构化 persona、自然历史、澄清对话或去掉显眼关键词后，关键决策是否保持；只换无关人口属性或措辞时，不该变的事实和结论是否稳定。ACL 2026 的研究已经发现，同一 persona 换一种提示线索就可能改变测量结论；</w:t>
      </w:r>
      <w:hyperlink r:id="rId38">
        <w:r>
          <w:rPr>
            <w:rFonts w:ascii="Calibri" w:hAnsi="Calibri" w:eastAsia="PingFang SC"/>
            <w:color w:val="2E74B5"/>
            <w:u w:val="single"/>
          </w:rPr>
          <w:t>[40]</w:t>
        </w:r>
      </w:hyperlink>
      <w:r>
        <w:rPr>
          <w:rFonts w:ascii="Calibri" w:hAnsi="Calibri" w:eastAsia="PingFang SC"/>
        </w:rPr>
        <w:t xml:space="preserve"> PARL 也强调个性化 rubric 必须同时有代表性、用户一致性和区分力。</w:t>
      </w:r>
      <w:hyperlink r:id="rId39">
        <w:r>
          <w:rPr>
            <w:rFonts w:ascii="Calibri" w:hAnsi="Calibri" w:eastAsia="PingFang SC"/>
            <w:color w:val="2E74B5"/>
            <w:u w:val="single"/>
          </w:rPr>
          <w:t>[41]</w:t>
        </w:r>
      </w:hyperlink>
      <w:r>
        <w:rPr>
          <w:rFonts w:ascii="Calibri" w:hAnsi="Calibri" w:eastAsia="PingFang SC"/>
        </w:rPr>
        <w:t xml:space="preserve"> DeepAlign 的 JudgeBench 同时补 PDR 尚未报告的 wrong-user swap、位置、长度、关键词和隐私诱饵，但 judge 改进与 estimand 创新要分开写。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用反事实任务族识别可观察的用户特异结果，而不是推断模型内部认知；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用压力测试区分获取、保持、利用和更新问题。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intervention，也不声称通过输出实验证明了模型“真正理解用户”。我们的候选贡献是把这些已有方向连接到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最终交付物的反事实特异性测量</w:t>
      </w:r>
      <w:r>
        <w:rPr>
          <w:rFonts w:ascii="Calibri" w:hAnsi="Calibri" w:eastAsia="PingFang SC"/>
        </w:rPr>
        <w:t>。如果 matched/swapped 人评不稳定，或同一用户需求换一种语义等价表达就改变结论，这个贡献就没有成立。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</w:t>
      </w:r>
      <w:r>
        <w:rPr>
          <w:rFonts w:ascii="Calibri" w:hAnsi="Calibri" w:eastAsia="PingFang SC"/>
        </w:rPr>
        <w:t>：用户状态按预注册事件发生变化后，agent 能不能采用当前真值并停止使用旧状态？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2"/>
      </w:pPr>
      <w:r>
        <w:t>3.5 一个 task family 到底怎么造</w:t>
      </w:r>
    </w:p>
    <w:p>
      <w:r>
        <w:rPr>
          <w:rFonts w:ascii="Calibri" w:hAnsi="Calibri" w:eastAsia="PingFang SC"/>
        </w:rPr>
        <w:t>先不要把很多论文里的 task/persona/rubric 直接拼在一起。建一张 source-to-design ledger：每篇论文的一条设计资产只能先标成 task seed、用户信息 construct、压力/失败假设、rubric/judge 方法或运行基础设施；同时写清采用什么、改了什么、为什么不采用其余部分。这样 PDR 的 persona-aware 评分、Agent-SafetyBench 的 failure 组织、PaperBench 的原子 rubric 和 EvalScope 的 adapter 不会被错误地当作同一层 taxonomy。</w:t>
      </w:r>
    </w:p>
    <w:p>
      <w:r>
        <w:rPr>
          <w:rFonts w:ascii="Calibri" w:hAnsi="Calibri" w:eastAsia="PingFang SC"/>
        </w:rPr>
        <w:t>Task family 不是“旅行类”“学术类”这样的标签，而是一套能生成受控条件的蓝图。实际按八步做：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从真实用户、专业工作流或已有 benchmark 收集一个确实需要多步研究的问题；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固定所有用户共同的目标、证据截止时间、工具、预算和交付物；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标注使用情境、研究意图、交付物和需求剖面；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建 frozen evidence pack、困难负例、时间戳和权限视图；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预先定义搜索 fan-out、冲突、上下文、handoff、更新等难度旋钮；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配两个都自然、但会改变至少两项交付决策的用户；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在模型运行前写 must-change / must-hold / must-not 和可接受替代；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用参考 matched/swapped 输出做人评 pilot，分不出来就删题。</w:t>
      </w:r>
    </w:p>
    <w:p>
      <w:r>
        <w:rPr>
          <w:rFonts w:ascii="Calibri" w:hAnsi="Calibri" w:eastAsia="PingFang SC"/>
        </w:rPr>
        <w:t>所以“同一个医疗 AI 采购研究 + 医院管理者/临床 AI 研究员”是一个 family：法规和产品事实不变，但 ROI/流程/合规与验证/漂移/复现的优先级必须变化。</w:t>
      </w:r>
    </w:p>
    <w:p>
      <w:pPr>
        <w:pStyle w:val="Heading2"/>
      </w:pPr>
      <w:r>
        <w:t>3.6 难度怎么逐级增加</w:t>
      </w:r>
    </w:p>
    <w:p>
      <w:r>
        <w:rPr>
          <w:rFonts w:ascii="Calibri" w:hAnsi="Calibri" w:eastAsia="PingFang SC"/>
        </w:rPr>
        <w:t>难度用六个独立旋钮表示：证据复杂度、用户信号复杂度、上下文长度、交接负载、权限敏感度、用户差异细微度。Anchor 内按同一前缀运行：</w:t>
      </w:r>
      <w:r>
        <w:rPr>
          <w:rFonts w:ascii="Courier New" w:hAnsi="Courier New" w:eastAsia="PingFang SC"/>
          <w:color w:val="6A3E00"/>
          <w:sz w:val="20"/>
        </w:rPr>
        <w:t>S0 clean → S1 单个轻扰动 → S2 单个强扰动 → S3 两个正交扰动</w:t>
      </w:r>
      <w:r>
        <w:rPr>
          <w:rFonts w:ascii="Calibri" w:hAnsi="Calibri" w:eastAsia="PingFang SC"/>
        </w:rPr>
        <w:t>。Risk 说明失败伤害什么，failure mode 说明想暴露什么机制，stress level 说明触发有多强；三者不能混成一个总难度分。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r>
        <w:rPr>
          <w:rFonts w:ascii="Calibri" w:hAnsi="Calibri" w:eastAsia="PingFang SC"/>
        </w:rPr>
        <w:t>具体不是让作者凭空写人物，而是：真实需求记录 → 提取目标/知识/硬约束/风险/受众/权限 → 先写 Ua/Ub 共享核心 → 只改 2–3 个有决策后果的字段 → 每条事实映射到一条评价契约 → 从同一 ledger 生成不同 signal view → 再生成 demographic-only、irrelevant、wrong-user、stale 和 redacted 负对照 → 原用户、相似用户与领域专家三方验证。没有 rubric 后果的 biography 细节从核心 persona 删除。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是：M1 商业 Deep Research 产品、M2 在统一搜索和工具条件下运行的通用 harness、M3 可复现开源 DRA。M4 code agent、M5 multi-agent、M6 memory-enhanced 是架构 probe，只在适合的 anchor 上运行。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</w:t>
      </w:r>
      <w:r>
        <w:rPr>
          <w:rFonts w:ascii="Calibri" w:hAnsi="Calibri" w:eastAsia="PingFang SC"/>
        </w:rPr>
        <w:t>：只读证据快照、统一工具和预算；每次 reset 后以同一 seed 成对运行，形成因果主榜；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</w:t>
      </w:r>
      <w:r>
        <w:rPr>
          <w:rFonts w:ascii="Calibri" w:hAnsi="Calibri" w:eastAsia="PingFang SC"/>
        </w:rPr>
        <w:t>：系统使用原生搜索和规划；记录日期、地区、订阅、版本、工具和 URL 快照，形成产品榜；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</w:t>
      </w:r>
      <w:r>
        <w:rPr>
          <w:rFonts w:ascii="Calibri" w:hAnsi="Calibri" w:eastAsia="PingFang SC"/>
        </w:rPr>
        <w:t>：事件脚本在固定 checkpoint 注入澄清、冲突、handoff 和动态更新，共享前缀后分叉，形成压力与机制榜。</w:t>
      </w:r>
    </w:p>
    <w:p>
      <w:r>
        <w:rPr>
          <w:rFonts w:ascii="Calibri" w:hAnsi="Calibri" w:eastAsia="PingFang SC"/>
        </w:rPr>
        <w:t>三条轨道是运行环境，不是 agent 类型。统一 adapter 至少要能 reset、提供 signal、运行到 checkpoint、注入 event、导出 artifact，并声明能保存 artifact-only、tool events、message events 还是 full state。三条轨道不能混成一个总榜。</w:t>
      </w:r>
    </w:p>
    <w:p>
      <w:r>
        <w:rPr>
          <w:rFonts w:ascii="Calibri" w:hAnsi="Calibri" w:eastAsia="PingFang SC"/>
        </w:rPr>
        <w:t>不建议现在同时把三条都搭完整。先用 2 个 family、2 个 agent 把 E1 从 reset 跑到 2×2 评分；然后用 1 个 anchor 搭 E3 的 checkpoint、冲突和更新；最后拿 1 个商业产品做 E2 记录 smoke test。E1 和一个 E3 事件跑不通前，不要批量写几十个 task。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用户中途更新目标。</w:t>
      </w:r>
    </w:p>
    <w:p>
      <w:r>
        <w:rPr>
          <w:rFonts w:ascii="Calibri" w:hAnsi="Calibri" w:eastAsia="PingFang SC"/>
        </w:rPr>
        <w:t>8 个 anchor 固定覆盖：日常决策、学习/职业、金融信息、健康信息、企业采购/合规、软件生产、学术前沿、政策传播。前三个共同对照（clean、persona swap、无关信息）在所有 anchor 上运行；冲突、稀释、handoff 和动态更新用平衡不完全区组分配。要说“哪种因素跨任务更伤个性化”，该主要 perturbation 至少要在 4 个适用 anchor 上做同前缀配对；只做 2 个只能叫探索性复现。</w:t>
      </w:r>
    </w:p>
    <w:p>
      <w:r>
        <w:rPr>
          <w:rFonts w:ascii="Calibri" w:hAnsi="Calibri" w:eastAsia="PingFang SC"/>
        </w:rPr>
        <w:t>所以 anchor 真正回答的是：“固定任务、证据、预算和前缀后，long-context dilution / stale conflict / handoff / update 让 CFA、PF、invariance 或 MP 改变多少？”它不能仅凭“某类任务平均低”回答内部根因。只有轨迹可比时，才进一步把结果和 acquire/preserve/use/update 的过程证据联系起来。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是哪一个，以及哪些结果应该变化/保持。对应指标分别是 ΔPF、无关信息 invariance、冲突解析率、PF retention/AUC、handoff loss、update correctness 和旧状态残留率；同时检查事实、共同质量、长度和隐私是否受损。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子集做受控压力分叉，用 memory ablation、handoff 和 dynamic update 定位保持与更新问题；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评测，论文必须把“获取、保持、利用、更新”的机制性结论降级，不能用最终输出反推内部原因。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现在有四个机器可读的 compiler contract，而不只是一句“根据元数据生成 rubric”：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case.schema.yaml</w:t>
      </w:r>
      <w:r>
        <w:rPr>
          <w:rFonts w:ascii="Calibri" w:hAnsi="Calibri" w:eastAsia="PingFang SC"/>
        </w:rPr>
        <w:t>：这个 case 是什么任务、什么用户、什么环境、测什么 agent；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rubric_template_registry.yaml</w:t>
      </w:r>
      <w:r>
        <w:rPr>
          <w:rFonts w:ascii="Calibri" w:hAnsi="Calibri" w:eastAsia="PingFang SC"/>
        </w:rPr>
        <w:t>：有哪些固定模板、什么元数据会激活它们；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rubric_leaf.schema.yaml</w:t>
      </w:r>
      <w:r>
        <w:rPr>
          <w:rFonts w:ascii="Calibri" w:hAnsi="Calibri" w:eastAsia="PingFang SC"/>
        </w:rPr>
        <w:t>：每条最小评分项必须有哪些字段；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metric_binding.schema.yaml</w:t>
      </w:r>
      <w:r>
        <w:rPr>
          <w:rFonts w:ascii="Calibri" w:hAnsi="Calibri" w:eastAsia="PingFang SC"/>
        </w:rPr>
        <w:t>：每条 leaf 进 TQ、FR、PF、MP 中的哪一个，派生指标再怎样计算。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rubric_module_library.yaml</w:t>
      </w:r>
      <w:r>
        <w:rPr>
          <w:rFonts w:ascii="Calibri" w:hAnsi="Calibri" w:eastAsia="PingFang SC"/>
        </w:rPr>
        <w:t>：36 个预定义 module 的激活条件、leaf blueprint、binding、judge route 与适用范围；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data_factory.protocol.yaml</w:t>
      </w:r>
      <w:r>
        <w:rPr>
          <w:rFonts w:ascii="Calibri" w:hAnsi="Calibri" w:eastAsia="PingFang SC"/>
        </w:rPr>
        <w:t>：从文献来源、task seed、user pair、contract 到 pilot 的造数顺序。</w:t>
      </w:r>
    </w:p>
    <w:p>
      <w:r>
        <w:rPr>
          <w:rFonts w:ascii="Calibri" w:hAnsi="Calibri" w:eastAsia="PingFang SC"/>
        </w:rPr>
        <w:t>要讲准确：这些文件现在把接口、规则和贯通例子定清了，但自动校验和自动生成 bundle 的程序还没写完。第 1 周要实现 schema validator、模板路由、参数填充、leaf ID/hash、非法绑定拒绝和冻结导出；通过测试后才能叫“可执行 compiler”。</w:t>
      </w:r>
    </w:p>
    <w:p>
      <w:r>
        <w:rPr>
          <w:rFonts w:ascii="Calibri" w:hAnsi="Calibri" w:eastAsia="PingFang SC"/>
        </w:rPr>
        <w:t>Compiler 的实际流程是：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冻结的 case metadata + user facts + 四类 contract + evidence/permission</w:t>
        <w:br/>
        <w:t>→ 校验输入</w:t>
        <w:br/>
        <w:t>→ 按 intent / deliverable / operator / risk 选固定模板</w:t>
        <w:br/>
        <w:t>→ 把预算、截止时间、用户、证据等填进模板</w:t>
        <w:br/>
        <w:t>→ leaf expansion：拆成可单独判断的原子项</w:t>
        <w:br/>
        <w:t>→ 检查覆盖、冲突、A/B 对称性、隐私和区分力</w:t>
        <w:br/>
        <w:t>→ 冻结 rubric bundle，再运行所有 agent</w:t>
      </w:r>
    </w:p>
    <w:p>
      <w:r>
        <w:rPr>
          <w:rFonts w:ascii="Calibri" w:hAnsi="Calibri" w:eastAsia="PingFang SC"/>
        </w:rPr>
        <w:t>每个 case 的模板来自六层：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 xml:space="preserve">所有 rubric 叶节点使用同一数据格式，但只有适用的模块才会被激活。例如 </w:t>
      </w:r>
      <w:r>
        <w:rPr>
          <w:rFonts w:ascii="Courier New" w:hAnsi="Courier New" w:eastAsia="PingFang SC"/>
          <w:color w:val="6A3E00"/>
          <w:sz w:val="20"/>
        </w:rPr>
        <w:t>compare_decide + decision_memo</w:t>
      </w:r>
      <w:r>
        <w:rPr>
          <w:rFonts w:ascii="Calibri" w:hAnsi="Calibri" w:eastAsia="PingFang SC"/>
        </w:rPr>
        <w:t xml:space="preserve"> 会选“比较方案、给出决策和 trade-off”的 intent 模板，以及“执行摘要、选择标准、风险边界、下一步”的 memo 模板；</w:t>
      </w:r>
      <w:r>
        <w:rPr>
          <w:rFonts w:ascii="Courier New" w:hAnsi="Courier New" w:eastAsia="PingFang SC"/>
          <w:color w:val="6A3E00"/>
          <w:sz w:val="20"/>
        </w:rPr>
        <w:t>code_and_docs</w:t>
      </w:r>
      <w:r>
        <w:rPr>
          <w:rFonts w:ascii="Calibri" w:hAnsi="Calibri" w:eastAsia="PingFang SC"/>
        </w:rPr>
        <w:t xml:space="preserve"> 则换成可运行测试、依赖和复现说明模板。领域事实只是填入模板的参数，医疗 claim 和市场 claim 仍使用同一种 evidence leaf schema，但由不同证据和专家阈值判定。</w:t>
      </w:r>
    </w:p>
    <w:p>
      <w:pPr>
        <w:pStyle w:val="Heading2"/>
      </w:pPr>
      <w:r>
        <w:t>7.1.1 预定义 module library 长什么样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Family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数量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例子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什么时候用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Core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任务、事实、证据、推理、不确定性、可用性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所有 case 必选/条件选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Personalization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目标、内容、知识、约束、风险、工作流、受众、格式、动态状态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有授权 user fact + must-change 才激活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Intent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synthesis / discover / decide / assess / plan / audit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每个 case 主选 1 个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report / memo / table / code / slides / web / multi-file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每个 case 主选 1 个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acquire / preserve / use / update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受控诊断，不从 final-only 猜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Risk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隐私、安全、升级、冲突/过期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风险或 must-not 激活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我们的强处不是 Personalization 从 9 个继续扩到 15 个。模块越多，越容易 double count、调权重、让不同 case 分数不可比。真正的强处是：每个 personalization leaf 都必须有用户事实来源和 must-change；A/B 使用对称的模块形状；同一套 leaves 同时评分 matched/swapped；must-hold 和 must-not 阻止“变化越多越个性化”；最后还有目标用户和 JudgeBench 校准。这比“动态生成一张更细 rubric”更接近可证伪的测量协议。</w:t>
      </w:r>
    </w:p>
    <w:p>
      <w:pPr>
        <w:pStyle w:val="Heading2"/>
      </w:pPr>
      <w:r>
        <w:t>7.2 Leaf expansion 到底是什么意思</w:t>
      </w:r>
    </w:p>
    <w:p>
      <w:r>
        <w:rPr>
          <w:rFonts w:ascii="Calibri" w:hAnsi="Calibri" w:eastAsia="PingFang SC"/>
        </w:rPr>
        <w:t>它不是“compiler 先出一个分数，再把分数细化”，而是</w:t>
      </w:r>
      <w:r>
        <w:rPr>
          <w:rFonts w:ascii="Calibri" w:hAnsi="Calibri" w:eastAsia="PingFang SC"/>
          <w:b/>
        </w:rPr>
        <w:t>运行 agent 之前</w:t>
      </w:r>
      <w:r>
        <w:rPr>
          <w:rFonts w:ascii="Calibri" w:hAnsi="Calibri" w:eastAsia="PingFang SC"/>
        </w:rPr>
        <w:t>把一个大要求拆成多个能独立打分的小要求。</w:t>
      </w:r>
    </w:p>
    <w:p>
      <w:r>
        <w:rPr>
          <w:rFonts w:ascii="Calibri" w:hAnsi="Calibri" w:eastAsia="PingFang SC"/>
        </w:rPr>
        <w:t>例如大要求是：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建议要符合 Ua 的预算和风险偏好。</w:t>
      </w:r>
    </w:p>
    <w:p>
      <w:r>
        <w:rPr>
          <w:rFonts w:ascii="Calibri" w:hAnsi="Calibri" w:eastAsia="PingFang SC"/>
        </w:rPr>
        <w:t>它至少拆成：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U-A-BUDGET-01</w:t>
      </w:r>
      <w:r>
        <w:rPr>
          <w:rFonts w:ascii="Calibri" w:hAnsi="Calibri" w:eastAsia="PingFang SC"/>
        </w:rPr>
        <w:t>：第一阶段支出不超过 50 万；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U-A-PILOT-02</w:t>
      </w:r>
      <w:r>
        <w:rPr>
          <w:rFonts w:ascii="Calibri" w:hAnsi="Calibri" w:eastAsia="PingFang SC"/>
        </w:rPr>
        <w:t>：给出三个月可逆试点；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U-A-EXIT-03</w:t>
      </w:r>
      <w:r>
        <w:rPr>
          <w:rFonts w:ascii="Calibri" w:hAnsi="Calibri" w:eastAsia="PingFang SC"/>
        </w:rPr>
        <w:t>：给出可操作的继续与退出阈值。</w:t>
      </w:r>
    </w:p>
    <w:p>
      <w:r>
        <w:rPr>
          <w:rFonts w:ascii="Calibri" w:hAnsi="Calibri" w:eastAsia="PingFang SC"/>
        </w:rPr>
        <w:t>每条 leaf 都要写清楚：属于哪个模板和 contract、适用于哪个用户、看交付物的什么证据、0/1/2 分分别是什么意思、权重、是否 hard gate、交给 verifier / judge / 用户 / 专家中的谁，以及直接进入哪个 metric。比如第 1 条可用数字 verifier + judge；0 分是超预算，1 分是提到预算但没有落实到方案，2 分是方案和阶段成本都满足。冻结后，任何 agent 都用同一标准。</w:t>
      </w:r>
    </w:p>
    <w:p>
      <w:pPr>
        <w:pStyle w:val="Heading2"/>
      </w:pPr>
      <w:r>
        <w:t>7.3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7.4 三棵 rubric tree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7.5 Leaf 到分数怎么绑定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Leaf 类型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直接进入什么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说明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共同任务、intent、deliverable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TQ；事实项还进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所有用户都要做好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该用户的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同一组 leaves 同时评 matched 和 swapped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单份看质量，跨两份看是否稳定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must-not violation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隐私或安全 critical 失败不能补偿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clarify-if-unknown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Clarification Correctness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擅自假设时另计 MP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diagnostic delta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与同前缀 clean control 比，不混入基础总分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所以，</w:t>
      </w:r>
      <w:r>
        <w:rPr>
          <w:rFonts w:ascii="Calibri" w:hAnsi="Calibri" w:eastAsia="PingFang SC"/>
          <w:b/>
        </w:rPr>
        <w:t>TQ、FR、PF、MP 直接由 leaves 聚合；CFA 不直接绑定 leaf。</w:t>
      </w:r>
      <w:r>
        <w:rPr>
          <w:rFonts w:ascii="Calibri" w:hAnsi="Calibri" w:eastAsia="PingFang SC"/>
        </w:rPr>
        <w:t xml:space="preserve"> Ua 的冻结 PF leaves 同时给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 xml:space="preserve"> 打分，得到 </w:t>
      </w:r>
      <w:r>
        <w:rPr>
          <w:rFonts w:ascii="Courier New" w:hAnsi="Courier New" w:eastAsia="PingFang SC"/>
          <w:color w:val="6A3E00"/>
          <w:sz w:val="20"/>
        </w:rPr>
        <w:t>PF_a(Y_a)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PF_a(Y_b)</w:t>
      </w:r>
      <w:r>
        <w:rPr>
          <w:rFonts w:ascii="Calibri" w:hAnsi="Calibri" w:eastAsia="PingFang SC"/>
        </w:rPr>
        <w:t xml:space="preserve">；Ub 的 leaves 再得到另外两个值。CFA 是这四个 PF 的对角优势。要查某个分数来自哪里，只需沿 </w:t>
      </w:r>
      <w:r>
        <w:rPr>
          <w:rFonts w:ascii="Courier New" w:hAnsi="Courier New" w:eastAsia="PingFang SC"/>
          <w:color w:val="6A3E00"/>
          <w:sz w:val="20"/>
        </w:rPr>
        <w:t>criterion_id → direct_metric_bindings → aggregate → derived metric</w:t>
      </w:r>
      <w:r>
        <w:rPr>
          <w:rFonts w:ascii="Calibri" w:hAnsi="Calibri" w:eastAsia="PingFang SC"/>
        </w:rPr>
        <w:t xml:space="preserve"> 追踪。</w:t>
      </w:r>
    </w:p>
    <w:p>
      <w:pPr>
        <w:pStyle w:val="Heading2"/>
      </w:pPr>
      <w:r>
        <w:t>7.6 Rubric 进入主实验前必须过七关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user-state 换成语义等价 signal view 后，must-change / must-hold 判断应稳定；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检查不同 module 的语义重叠、leaf 数和权重敏感性，避免重复计分和量尺漂移；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对 pilot 中现有 module 捕捉不到的错误做 open coding；只有同一残余 construct 在至少两个不同 family 重复出现，才新增 module。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：匹配用户的报告相对错配报告有多少优势，但要把两位用户的方向分别保留下来。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Δa = Ua 看 Ya 相对 Yb 的优势</w:t>
        <w:br/>
        <w:t>Δb = Ub 看 Yb 相对 Ya 的优势</w:t>
        <w:br/>
        <w:t>CFA_mean = (Δa + Δb) / 2</w:t>
        <w:br/>
        <w:t>CFA_min = min(Δa, Δb)</w:t>
      </w:r>
    </w:p>
    <w:p>
      <w:r>
        <w:rPr>
          <w:rFonts w:ascii="Calibri" w:hAnsi="Calibri" w:eastAsia="PingFang SC"/>
        </w:rPr>
        <w:t xml:space="preserve">CFA 的平均值大于 0 仍不够：如果 Ua 明显受益、Ub 反而更适合错误版本，平均后也可能是正数。所以主结果必须同时给出 </w:t>
      </w: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>，只有两边都大于 0 才算“双向成立”。</w:t>
      </w:r>
    </w:p>
    <w:p>
      <w:r>
        <w:rPr>
          <w:rFonts w:ascii="Calibri" w:hAnsi="Calibri" w:eastAsia="PingFang SC"/>
        </w:rPr>
        <w:t>还要回答另一件过去容易混掉的事：</w:t>
      </w:r>
      <w:r>
        <w:rPr>
          <w:rFonts w:ascii="Calibri" w:hAnsi="Calibri" w:eastAsia="PingFang SC"/>
          <w:b/>
        </w:rPr>
        <w:t>可区分不等于有帮助。</w:t>
      </w:r>
      <w:r>
        <w:rPr>
          <w:rFonts w:ascii="Calibri" w:hAnsi="Calibri" w:eastAsia="PingFang SC"/>
        </w:rPr>
        <w:t xml:space="preserve"> 主矩阵本来就有 task-only 报告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，因此再计算 </w:t>
      </w:r>
      <w:r>
        <w:rPr>
          <w:rFonts w:ascii="Courier New" w:hAnsi="Courier New" w:eastAsia="PingFang SC"/>
          <w:color w:val="6A3E00"/>
          <w:sz w:val="20"/>
        </w:rPr>
        <w:t>Ga = Ua 看 Ya 相对 Y0 的增益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Ub 看 Yb 相对 Y0 的增益</w:t>
      </w:r>
      <w:r>
        <w:rPr>
          <w:rFonts w:ascii="Calibri" w:hAnsi="Calibri" w:eastAsia="PingFang SC"/>
        </w:rPr>
        <w:t>。最后用二维图同时画“跨用户 specificity”和“相对 task-only benefit”：右上角才是真正有益的个性化；只在右下说明版本不同但没有给用户带来净收益。</w:t>
      </w:r>
    </w:p>
    <w:p>
      <w:r>
        <w:rPr>
          <w:rFonts w:ascii="Calibri" w:hAnsi="Calibri" w:eastAsia="PingFang SC"/>
        </w:rPr>
        <w:t>最终成功条件不是一个新总分，而是四个门同时通过：两位用户的 matched 都优于 swapped；两位用户相对 task-only 都不变差；TQ/FR 与 must-hold 不下降；must-not、隐私和权限不违规。目标用户盲评再用 family 内配对检验确认 match effect，不能把同一个 family 的四格分数当四个独立样本。之后仍要报告语义等价 views 中最差的 CFA、Cue Gap、must-change/must-hold 一致率，以及无关 cue 是否改变结果。</w:t>
      </w:r>
    </w:p>
    <w:p>
      <w:pPr>
        <w:pStyle w:val="Heading2"/>
      </w:pPr>
      <w:r>
        <w:t>8.3 长程与动态状态能力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Update correctness：状态变化后是否采用当前真值；</w:t>
      </w:r>
    </w:p>
    <w:p>
      <w:pPr>
        <w:pStyle w:val="ListBullet"/>
      </w:pPr>
      <w:r>
        <w:rPr>
          <w:rFonts w:ascii="Calibri" w:hAnsi="Calibri" w:eastAsia="PingFang SC"/>
        </w:rPr>
        <w:t>Stale-state residue：旧状态仍进入最终交付物的比例；</w:t>
      </w:r>
    </w:p>
    <w:p>
      <w:pPr>
        <w:pStyle w:val="ListBullet"/>
      </w:pPr>
      <w:r>
        <w:rPr>
          <w:rFonts w:ascii="Calibri" w:hAnsi="Calibri" w:eastAsia="PingFang SC"/>
        </w:rPr>
        <w:t>Pressure side effect：压力条件是否损害事实、任务质量或隐私。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和关键隐私门槛，再分四张 profile：clean 条件下的任务/交付物能力；不同 signal channel 的获取与利用；S0–S3 的风险/failure-mode 退化曲线；压力下的 must-not、隐私、权限、弃权和共同质量副作用。每张 agent card 标注运行环境、trace level、覆盖率和 N/A；不同 evidence track、工具预算和 agent 类型不混排。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它还要专门覆盖 PDR 暴露或尚未覆盖的五类问题：低人类一致性、动态 criterion 重生成、通用 evaluator 与目标用户判断不一致、claim extraction/retrieval/support 链式误差、以及 P/Q/R 补偿关键失败。对应做 criterion 多次重生成稳定性、target-user matched/swapped、claim-recall 审计、抓取失败单列和 hard-gate 对照。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应先承认 PDR-Bench 已经测 task–persona 条件下的 absolute adaptation；再证明 DeepAlign 的跨用户 2×2 对角优势和预冻结契约能识别 counterfactual personalization effect。同时可以公平指出 PDR 的最佳 PCA=0.43、15-query/2-agent 校准、动态 criterion variance、非 target-user validity 和复合事实核验链等可靠性边界。前者是方法创新，后者是测量改进，不能混成一个 claim。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能不能证明获取、保持、利用和更新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反事实任务族能识别交付物的用户特异性，语义等价信号测试再检查其是否只依赖表面 persona 线索；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若完成诊断子集，可以报告保持和更新的受控压力证据。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OpenCompass Team. </w:t>
      </w:r>
      <w:r>
        <w:rPr>
          <w:rFonts w:ascii="Calibri" w:hAnsi="Calibri" w:eastAsia="PingFang SC"/>
          <w:i/>
          <w:sz w:val="16"/>
        </w:rPr>
        <w:t>OpenCompass: A Universal Evaluation Platform for Large Language Models</w:t>
      </w:r>
      <w:r>
        <w:rPr>
          <w:rFonts w:ascii="Calibri" w:hAnsi="Calibri" w:eastAsia="PingFang SC"/>
          <w:sz w:val="16"/>
        </w:rPr>
        <w:t>. arXiv:2605.19276,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ModelScope. </w:t>
      </w:r>
      <w:r>
        <w:rPr>
          <w:rFonts w:ascii="Calibri" w:hAnsi="Calibri" w:eastAsia="PingFang SC"/>
          <w:i/>
          <w:sz w:val="16"/>
        </w:rPr>
        <w:t>EvalScope Introduction</w:t>
      </w:r>
      <w:r>
        <w:rPr>
          <w:rFonts w:ascii="Calibri" w:hAnsi="Calibri" w:eastAsia="PingFang SC"/>
          <w:sz w:val="16"/>
        </w:rPr>
        <w:t xml:space="preserve">. </w:t>
      </w:r>
      <w:hyperlink r:id="rId4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https://evalscope.readthedocs.io/en/refact_readme/get_started/introduction.html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Zhang et al. </w:t>
      </w:r>
      <w:r>
        <w:rPr>
          <w:rFonts w:ascii="Calibri" w:hAnsi="Calibri" w:eastAsia="PingFang SC"/>
          <w:i/>
          <w:sz w:val="16"/>
        </w:rPr>
        <w:t>Agent-SafetyBench: Evaluating the Safety of LLM Agents</w:t>
      </w:r>
      <w:r>
        <w:rPr>
          <w:rFonts w:ascii="Calibri" w:hAnsi="Calibri" w:eastAsia="PingFang SC"/>
          <w:sz w:val="16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Wang et al. </w:t>
      </w:r>
      <w:r>
        <w:rPr>
          <w:rFonts w:ascii="Calibri" w:hAnsi="Calibri" w:eastAsia="PingFang SC"/>
          <w:i/>
          <w:sz w:val="16"/>
        </w:rPr>
        <w:t>LiveResearchBench: A Live Benchmark for User-Centric Deep Research in the Wild</w:t>
      </w:r>
      <w:r>
        <w:rPr>
          <w:rFonts w:ascii="Calibri" w:hAnsi="Calibri" w:eastAsia="PingFang SC"/>
          <w:sz w:val="16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Sharma et al. </w:t>
      </w:r>
      <w:r>
        <w:rPr>
          <w:rFonts w:ascii="Calibri" w:hAnsi="Calibri" w:eastAsia="PingFang SC"/>
          <w:i/>
          <w:sz w:val="16"/>
        </w:rPr>
        <w:t>ResearchRubrics: A Benchmark of Prompts and Rubrics for Evaluating Deep Research Agents</w:t>
      </w:r>
      <w:r>
        <w:rPr>
          <w:rFonts w:ascii="Calibri" w:hAnsi="Calibri" w:eastAsia="PingFang SC"/>
          <w:sz w:val="16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Java et al. </w:t>
      </w:r>
      <w:r>
        <w:rPr>
          <w:rFonts w:ascii="Calibri" w:hAnsi="Calibri" w:eastAsia="PingFang SC"/>
          <w:i/>
          <w:sz w:val="16"/>
        </w:rPr>
        <w:t>Characterizing Deep Research: A Benchmark and Formal Definition</w:t>
      </w:r>
      <w:r>
        <w:rPr>
          <w:rFonts w:ascii="Calibri" w:hAnsi="Calibri" w:eastAsia="PingFang SC"/>
          <w:sz w:val="16"/>
        </w:rPr>
        <w:t>. arXiv:2508.04183.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Yoran et al. </w:t>
      </w:r>
      <w:r>
        <w:rPr>
          <w:rFonts w:ascii="Calibri" w:hAnsi="Calibri" w:eastAsia="PingFang SC"/>
          <w:i/>
          <w:sz w:val="16"/>
        </w:rPr>
        <w:t>AssistantBench: Can Web Agents Solve Realistic and Time-Consuming Tasks?</w:t>
      </w:r>
      <w:r>
        <w:rPr>
          <w:rFonts w:ascii="Calibri" w:hAnsi="Calibri" w:eastAsia="PingFang SC"/>
          <w:sz w:val="16"/>
        </w:rPr>
        <w:t xml:space="preserve"> arXiv:2407.15711.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Liang et al. </w:t>
      </w:r>
      <w:r>
        <w:rPr>
          <w:rFonts w:ascii="Calibri" w:hAnsi="Calibri" w:eastAsia="PingFang SC"/>
          <w:i/>
          <w:sz w:val="16"/>
        </w:rPr>
        <w:t>Holistic Evaluation of Language Models</w:t>
      </w:r>
      <w:r>
        <w:rPr>
          <w:rFonts w:ascii="Calibri" w:hAnsi="Calibri" w:eastAsia="PingFang SC"/>
          <w:sz w:val="16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[10] Ribeiro et al. </w:t>
      </w:r>
      <w:r>
        <w:rPr>
          <w:rFonts w:ascii="Calibri" w:hAnsi="Calibri" w:eastAsia="PingFang SC"/>
          <w:i/>
          <w:sz w:val="16"/>
        </w:rPr>
        <w:t>Beyond Accuracy: Behavioral Testing of NLP Models with CheckList</w:t>
      </w:r>
      <w:r>
        <w:rPr>
          <w:rFonts w:ascii="Calibri" w:hAnsi="Calibri" w:eastAsia="PingFang SC"/>
          <w:sz w:val="16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[11] Reuel et al. </w:t>
      </w:r>
      <w:r>
        <w:rPr>
          <w:rFonts w:ascii="Calibri" w:hAnsi="Calibri" w:eastAsia="PingFang SC"/>
          <w:i/>
          <w:sz w:val="16"/>
        </w:rPr>
        <w:t>BetterBench: Assessing AI Benchmarks, Uncovering Issues, and Establishing Best Practices</w:t>
      </w:r>
      <w:r>
        <w:rPr>
          <w:rFonts w:ascii="Calibri" w:hAnsi="Calibri" w:eastAsia="PingFang SC"/>
          <w:sz w:val="16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[12] Sokol et al. </w:t>
      </w:r>
      <w:r>
        <w:rPr>
          <w:rFonts w:ascii="Calibri" w:hAnsi="Calibri" w:eastAsia="PingFang SC"/>
          <w:i/>
          <w:sz w:val="16"/>
        </w:rPr>
        <w:t>BenchmarkCards: Standardized Documentation for Large Language Model Benchmarks</w:t>
      </w:r>
      <w:r>
        <w:rPr>
          <w:rFonts w:ascii="Calibri" w:hAnsi="Calibri" w:eastAsia="PingFang SC"/>
          <w:sz w:val="16"/>
        </w:rPr>
        <w:t>. NeurIPS Datasets and Benchmarks,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[13] Zeng et al. </w:t>
      </w:r>
      <w:r>
        <w:rPr>
          <w:rFonts w:ascii="Calibri" w:hAnsi="Calibri" w:eastAsia="PingFang SC"/>
          <w:i/>
          <w:sz w:val="16"/>
        </w:rPr>
        <w:t>Setoka</w:t>
      </w:r>
      <w:r>
        <w:rPr>
          <w:rFonts w:ascii="Calibri" w:hAnsi="Calibri" w:eastAsia="PingFang SC"/>
          <w:sz w:val="16"/>
        </w:rPr>
        <w:t>. arXiv:2607.27056,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[14] Qian et al. </w:t>
      </w:r>
      <w:r>
        <w:rPr>
          <w:rFonts w:ascii="Calibri" w:hAnsi="Calibri" w:eastAsia="PingFang SC"/>
          <w:i/>
          <w:sz w:val="16"/>
        </w:rPr>
        <w:t>Toward User-Conditioned Evaluation of Personal LLM Agents under Temporal Interventions</w:t>
      </w:r>
      <w:r>
        <w:rPr>
          <w:rFonts w:ascii="Calibri" w:hAnsi="Calibri" w:eastAsia="PingFang SC"/>
          <w:sz w:val="16"/>
        </w:rPr>
        <w:t>. arXiv:2607.21635,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[15] Yang et al. </w:t>
      </w:r>
      <w:r>
        <w:rPr>
          <w:rFonts w:ascii="Calibri" w:hAnsi="Calibri" w:eastAsia="PingFang SC"/>
          <w:i/>
          <w:sz w:val="16"/>
        </w:rPr>
        <w:t>PersonaTrail</w:t>
      </w:r>
      <w:r>
        <w:rPr>
          <w:rFonts w:ascii="Calibri" w:hAnsi="Calibri" w:eastAsia="PingFang SC"/>
          <w:sz w:val="16"/>
        </w:rPr>
        <w:t>. arXiv:2607.20482,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[16] Todisco et al. </w:t>
      </w:r>
      <w:r>
        <w:rPr>
          <w:rFonts w:ascii="Calibri" w:hAnsi="Calibri" w:eastAsia="PingFang SC"/>
          <w:i/>
          <w:sz w:val="16"/>
        </w:rPr>
        <w:t>TARS</w:t>
      </w:r>
      <w:r>
        <w:rPr>
          <w:rFonts w:ascii="Calibri" w:hAnsi="Calibri" w:eastAsia="PingFang SC"/>
          <w:sz w:val="16"/>
        </w:rPr>
        <w:t>. arXiv:2607.15948,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[17] Yang. </w:t>
      </w:r>
      <w:r>
        <w:rPr>
          <w:rFonts w:ascii="Calibri" w:hAnsi="Calibri" w:eastAsia="PingFang SC"/>
          <w:i/>
          <w:sz w:val="16"/>
        </w:rPr>
        <w:t>Self-Aware Recursively Self-Improving Agents for Personal Singularity</w:t>
      </w:r>
      <w:r>
        <w:rPr>
          <w:rFonts w:ascii="Calibri" w:hAnsi="Calibri" w:eastAsia="PingFang SC"/>
          <w:sz w:val="16"/>
        </w:rPr>
        <w:t>. arXiv:2607.12254,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[18] Mao et al. </w:t>
      </w:r>
      <w:r>
        <w:rPr>
          <w:rFonts w:ascii="Calibri" w:hAnsi="Calibri" w:eastAsia="PingFang SC"/>
          <w:i/>
          <w:sz w:val="16"/>
        </w:rPr>
        <w:t>Agents Don't Just Agree, They Remember</w:t>
      </w:r>
      <w:r>
        <w:rPr>
          <w:rFonts w:ascii="Calibri" w:hAnsi="Calibri" w:eastAsia="PingFang SC"/>
          <w:sz w:val="16"/>
        </w:rPr>
        <w:t>. arXiv:2607.10526,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[19] Yang et al. </w:t>
      </w:r>
      <w:r>
        <w:rPr>
          <w:rFonts w:ascii="Calibri" w:hAnsi="Calibri" w:eastAsia="PingFang SC"/>
          <w:i/>
          <w:sz w:val="16"/>
        </w:rPr>
        <w:t>APeB</w:t>
      </w:r>
      <w:r>
        <w:rPr>
          <w:rFonts w:ascii="Calibri" w:hAnsi="Calibri" w:eastAsia="PingFang SC"/>
          <w:sz w:val="16"/>
        </w:rPr>
        <w:t>. arXiv:2607.03162,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[20] Salemi et al. </w:t>
      </w:r>
      <w:r>
        <w:rPr>
          <w:rFonts w:ascii="Calibri" w:hAnsi="Calibri" w:eastAsia="PingFang SC"/>
          <w:i/>
          <w:sz w:val="16"/>
        </w:rPr>
        <w:t>LaMP: When Large Language Models Meet Personalization</w:t>
      </w:r>
      <w:r>
        <w:rPr>
          <w:rFonts w:ascii="Calibri" w:hAnsi="Calibri" w:eastAsia="PingFang SC"/>
          <w:sz w:val="16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https://aclanthology.org/2024.acl-long.399/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[21] Singh et al. </w:t>
      </w:r>
      <w:r>
        <w:rPr>
          <w:rFonts w:ascii="Calibri" w:hAnsi="Calibri" w:eastAsia="PingFang SC"/>
          <w:i/>
          <w:sz w:val="16"/>
        </w:rPr>
        <w:t>Personal Large Language Model Agents: A Case Study on Tailored Travel Planning</w:t>
      </w:r>
      <w:r>
        <w:rPr>
          <w:rFonts w:ascii="Calibri" w:hAnsi="Calibri" w:eastAsia="PingFang SC"/>
          <w:sz w:val="16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https://aclanthology.org/2024.emnlp-industry.37/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[22] Zhao et al. </w:t>
      </w:r>
      <w:r>
        <w:rPr>
          <w:rFonts w:ascii="Calibri" w:hAnsi="Calibri" w:eastAsia="PingFang SC"/>
          <w:i/>
          <w:sz w:val="16"/>
        </w:rPr>
        <w:t>PersonaLens</w:t>
      </w:r>
      <w:r>
        <w:rPr>
          <w:rFonts w:ascii="Calibri" w:hAnsi="Calibri" w:eastAsia="PingFang SC"/>
          <w:sz w:val="16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https://aclanthology.org/2025.findings-acl.927/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[23] Jiang et al. </w:t>
      </w:r>
      <w:r>
        <w:rPr>
          <w:rFonts w:ascii="Calibri" w:hAnsi="Calibri" w:eastAsia="PingFang SC"/>
          <w:i/>
          <w:sz w:val="16"/>
        </w:rPr>
        <w:t>Know Me, Respond to Me</w:t>
      </w:r>
      <w:r>
        <w:rPr>
          <w:rFonts w:ascii="Calibri" w:hAnsi="Calibri" w:eastAsia="PingFang SC"/>
          <w:sz w:val="16"/>
        </w:rPr>
        <w:t>. arXiv:2504.14225,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[24] Hao et al. </w:t>
      </w:r>
      <w:r>
        <w:rPr>
          <w:rFonts w:ascii="Calibri" w:hAnsi="Calibri" w:eastAsia="PingFang SC"/>
          <w:i/>
          <w:sz w:val="16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6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[25] Cheng et al. </w:t>
      </w:r>
      <w:r>
        <w:rPr>
          <w:rFonts w:ascii="Calibri" w:hAnsi="Calibri" w:eastAsia="PingFang SC"/>
          <w:i/>
          <w:sz w:val="16"/>
        </w:rPr>
        <w:t>ToolSpectrum</w:t>
      </w:r>
      <w:r>
        <w:rPr>
          <w:rFonts w:ascii="Calibri" w:hAnsi="Calibri" w:eastAsia="PingFang SC"/>
          <w:sz w:val="16"/>
        </w:rPr>
        <w:t>. arXiv:2505.13176,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[26] Zhang et al. </w:t>
      </w:r>
      <w:r>
        <w:rPr>
          <w:rFonts w:ascii="Calibri" w:hAnsi="Calibri" w:eastAsia="PingFang SC"/>
          <w:i/>
          <w:sz w:val="16"/>
        </w:rPr>
        <w:t>PRIME</w:t>
      </w:r>
      <w:r>
        <w:rPr>
          <w:rFonts w:ascii="Calibri" w:hAnsi="Calibri" w:eastAsia="PingFang SC"/>
          <w:sz w:val="16"/>
        </w:rPr>
        <w:t xml:space="preserve">. EMNLP, 2025. </w:t>
      </w:r>
      <w:hyperlink r:id="rId4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https://aclanthology.org/2025.emnlp-main.1711/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[27] Li et al. </w:t>
      </w:r>
      <w:r>
        <w:rPr>
          <w:rFonts w:ascii="Calibri" w:hAnsi="Calibri" w:eastAsia="PingFang SC"/>
          <w:i/>
          <w:sz w:val="16"/>
        </w:rPr>
        <w:t>Personalized Deep Research: A User-Centric Framework, Dataset, and Hybrid Evaluation</w:t>
      </w:r>
      <w:r>
        <w:rPr>
          <w:rFonts w:ascii="Calibri" w:hAnsi="Calibri" w:eastAsia="PingFang SC"/>
          <w:sz w:val="16"/>
        </w:rPr>
        <w:t>. arXiv:2605.10530,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[28] Balepur et al. </w:t>
      </w:r>
      <w:r>
        <w:rPr>
          <w:rFonts w:ascii="Calibri" w:hAnsi="Calibri" w:eastAsia="PingFang SC"/>
          <w:i/>
          <w:sz w:val="16"/>
        </w:rPr>
        <w:t>Language Models Don't Know What You Want</w:t>
      </w:r>
      <w:r>
        <w:rPr>
          <w:rFonts w:ascii="Calibri" w:hAnsi="Calibri" w:eastAsia="PingFang SC"/>
          <w:sz w:val="16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[29] Garbacea et al. </w:t>
      </w:r>
      <w:r>
        <w:rPr>
          <w:rFonts w:ascii="Calibri" w:hAnsi="Calibri" w:eastAsia="PingFang SC"/>
          <w:i/>
          <w:sz w:val="16"/>
        </w:rPr>
        <w:t>Personalized Benchmarking: Evaluating LLMs by Individual Preferences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4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https://aclanthology.org/2026.findings-acl.31/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[30] Feng et al. </w:t>
      </w:r>
      <w:r>
        <w:rPr>
          <w:rFonts w:ascii="Calibri" w:hAnsi="Calibri" w:eastAsia="PingFang SC"/>
          <w:i/>
          <w:sz w:val="16"/>
        </w:rPr>
        <w:t>How Does Personalized Memory Shape LLM Behavior?</w:t>
      </w:r>
      <w:r>
        <w:rPr>
          <w:rFonts w:ascii="Calibri" w:hAnsi="Calibri" w:eastAsia="PingFang SC"/>
          <w:sz w:val="16"/>
        </w:rPr>
        <w:t xml:space="preserve"> arXiv:2601.16621,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[31] Liang et al. </w:t>
      </w:r>
      <w:r>
        <w:rPr>
          <w:rFonts w:ascii="Calibri" w:hAnsi="Calibri" w:eastAsia="PingFang SC"/>
          <w:i/>
          <w:sz w:val="16"/>
        </w:rPr>
        <w:t>Learning Personalized Agents from Human Feedback</w:t>
      </w:r>
      <w:r>
        <w:rPr>
          <w:rFonts w:ascii="Calibri" w:hAnsi="Calibri" w:eastAsia="PingFang SC"/>
          <w:sz w:val="16"/>
        </w:rPr>
        <w:t>. arXiv:2602.16173,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[32] In et al. </w:t>
      </w:r>
      <w:r>
        <w:rPr>
          <w:rFonts w:ascii="Calibri" w:hAnsi="Calibri" w:eastAsia="PingFang SC"/>
          <w:i/>
          <w:sz w:val="16"/>
        </w:rPr>
        <w:t>Personalize-then-Store</w:t>
      </w:r>
      <w:r>
        <w:rPr>
          <w:rFonts w:ascii="Calibri" w:hAnsi="Calibri" w:eastAsia="PingFang SC"/>
          <w:sz w:val="16"/>
        </w:rPr>
        <w:t>. arXiv:2605.25535,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[33] Uddin et al. </w:t>
      </w:r>
      <w:r>
        <w:rPr>
          <w:rFonts w:ascii="Calibri" w:hAnsi="Calibri" w:eastAsia="PingFang SC"/>
          <w:i/>
          <w:sz w:val="16"/>
        </w:rPr>
        <w:t>From Recall to Forgetting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https://aclanthology.org/2026.findings-acl.1337/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[34] Hu et al. </w:t>
      </w:r>
      <w:r>
        <w:rPr>
          <w:rFonts w:ascii="Calibri" w:hAnsi="Calibri" w:eastAsia="PingFang SC"/>
          <w:i/>
          <w:sz w:val="16"/>
        </w:rPr>
        <w:t>CloneMem</w:t>
      </w:r>
      <w:r>
        <w:rPr>
          <w:rFonts w:ascii="Calibri" w:hAnsi="Calibri" w:eastAsia="PingFang SC"/>
          <w:sz w:val="16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https://aclanthology.org/2026.acl-long.1549/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[35] Shen et al. </w:t>
      </w:r>
      <w:r>
        <w:rPr>
          <w:rFonts w:ascii="Calibri" w:hAnsi="Calibri" w:eastAsia="PingFang SC"/>
          <w:i/>
          <w:sz w:val="16"/>
        </w:rPr>
        <w:t>Mem2ActBench</w:t>
      </w:r>
      <w:r>
        <w:rPr>
          <w:rFonts w:ascii="Calibri" w:hAnsi="Calibri" w:eastAsia="PingFang SC"/>
          <w:sz w:val="16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[36] Chen et al. </w:t>
      </w:r>
      <w:r>
        <w:rPr>
          <w:rFonts w:ascii="Calibri" w:hAnsi="Calibri" w:eastAsia="PingFang SC"/>
          <w:i/>
          <w:sz w:val="16"/>
        </w:rPr>
        <w:t>Towards Preference Following in Tool Calling Language Agents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https://aclanthology.org/2026.findings-acl.1676/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[37] Lyu et al. </w:t>
      </w:r>
      <w:r>
        <w:rPr>
          <w:rFonts w:ascii="Calibri" w:hAnsi="Calibri" w:eastAsia="PingFang SC"/>
          <w:i/>
          <w:sz w:val="16"/>
        </w:rPr>
        <w:t>PersonalAlign</w:t>
      </w:r>
      <w:r>
        <w:rPr>
          <w:rFonts w:ascii="Calibri" w:hAnsi="Calibri" w:eastAsia="PingFang SC"/>
          <w:sz w:val="16"/>
        </w:rPr>
        <w:t xml:space="preserve">. ACL, 2026. </w:t>
      </w:r>
      <w:hyperlink r:id="rId4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https://aclanthology.org/2026.acl-long.1669/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[38] Wang et al. </w:t>
      </w:r>
      <w:r>
        <w:rPr>
          <w:rFonts w:ascii="Calibri" w:hAnsi="Calibri" w:eastAsia="PingFang SC"/>
          <w:i/>
          <w:sz w:val="16"/>
        </w:rPr>
        <w:t>OPeRA</w:t>
      </w:r>
      <w:r>
        <w:rPr>
          <w:rFonts w:ascii="Calibri" w:hAnsi="Calibri" w:eastAsia="PingFang SC"/>
          <w:sz w:val="16"/>
        </w:rPr>
        <w:t xml:space="preserve">. ACL, 2026. </w:t>
      </w:r>
      <w:hyperlink r:id="rId4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https://aclanthology.org/2026.acl-long.2033/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[39] Guo et al. </w:t>
      </w:r>
      <w:r>
        <w:rPr>
          <w:rFonts w:ascii="Calibri" w:hAnsi="Calibri" w:eastAsia="PingFang SC"/>
          <w:i/>
          <w:sz w:val="16"/>
        </w:rPr>
        <w:t>When Personalization Legitimizes Risks</w:t>
      </w:r>
      <w:r>
        <w:rPr>
          <w:rFonts w:ascii="Calibri" w:hAnsi="Calibri" w:eastAsia="PingFang SC"/>
          <w:sz w:val="16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https://aclanthology.org/2026.acl-long.1260/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[40]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ACL, 2026. </w:t>
      </w:r>
      <w:hyperlink r:id="rId3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[41] Qiu et al. </w:t>
      </w:r>
      <w:r>
        <w:rPr>
          <w:rFonts w:ascii="Calibri" w:hAnsi="Calibri" w:eastAsia="PingFang SC"/>
          <w:i/>
          <w:sz w:val="16"/>
        </w:rPr>
        <w:t>Preference-Aware Rubric Learning for Personalized Evaluation</w:t>
      </w:r>
      <w:r>
        <w:rPr>
          <w:rFonts w:ascii="Calibri" w:hAnsi="Calibri" w:eastAsia="PingFang SC"/>
          <w:sz w:val="16"/>
        </w:rPr>
        <w:t xml:space="preserve">. arXiv:2605.31545, 2026. </w:t>
      </w:r>
      <w:hyperlink r:id="rId3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aclanthology.org/2026.acl-long.2079/" TargetMode="External"/><Relationship Id="rId39" Type="http://schemas.openxmlformats.org/officeDocument/2006/relationships/hyperlink" Target="https://arxiv.org/abs/2605.31545" TargetMode="External"/><Relationship Id="rId40" Type="http://schemas.openxmlformats.org/officeDocument/2006/relationships/hyperlink" Target="https://evalscope.readthedocs.io/en/refact_readme/get_started/introduction.html" TargetMode="External"/><Relationship Id="rId41" Type="http://schemas.openxmlformats.org/officeDocument/2006/relationships/hyperlink" Target="https://aclanthology.org/2025.emnlp-main.1711/" TargetMode="External"/><Relationship Id="rId42" Type="http://schemas.openxmlformats.org/officeDocument/2006/relationships/hyperlink" Target="https://aclanthology.org/2026.findings-acl.31/" TargetMode="External"/><Relationship Id="rId43" Type="http://schemas.openxmlformats.org/officeDocument/2006/relationships/hyperlink" Target="https://aclanthology.org/2026.acl-long.1669/" TargetMode="External"/><Relationship Id="rId44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