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v0.30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检验 specificity，用 task-only uplift 检验真实受益，再用质量与边界门槛排除伪个性化。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[10]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RQ3：长程保持与更新。</w:t>
      </w:r>
      <w:r>
        <w:rPr>
          <w:rFonts w:ascii="Calibri" w:hAnsi="Calibri" w:eastAsia="PingFang SC"/>
        </w:rPr>
        <w:t xml:space="preserve"> 上下文稀释、信息冲突、agent 交接和用户状态更新如何影响用户适配？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长上下文干扰使用户特异适配比共同任务质量下降更快；动态状态变化后旧状态残留率随压力增加。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类型在忽略约束、信息冲突、过度个性化、保持和更新失败上存在可重复差异。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需求剖面”组织。多篇论文不直接求 taxonomy 并集，而先进入 source-to-design ledger：每个来源分别标为 task seed、用户 construct、perturbation、rubric/judge 或 infrastructure，并记录采用、修改和拒绝项。每个 family 依次完成：一个端到端 vertical slice → 真实需求 seed → 冻结 task/evidence/deliverable core → 标注 stratum/intent/demand → 配对 user states → 冻结差异契约 → 编译 module/leaves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2–3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 和动态更新，共享前缀分叉形成压力与机制榜。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>开工时不同时搭满三条轨道：先用 2 family × 2 agent 跑通 E1；再用 1 个 anchor 验证 E3 checkpoint/conflict/update；最后只做 1 个 E2 商业产品 adapter smoke test。E1 和一个 E3 event 未端到端通过前不批量造数；E2 不阻塞主矩阵。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用平衡不完全区组分配。若要跨任务比较“long context、conflict、handoff 哪种伤害更大”，主要 perturbation 至少落到 4 个适用 anchor；只落到 2 个时仅作探索性复现。Anchor 通过同任务、同前缀 control 估计受控扰动敏感度，不能仅凭异构任务相关性声称找到了内部根因。结果分四层报 base task profile、signal board、S0–S3 stress curve 和 boundary/governance board。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dynamic-update 的受控压力分叉做机制诊断。如果该子集未完成，论文只报告最终交付物个性化，不声称已定位内部偏移机制。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Compiler 已有机器可读 contract 和固定模板设计，不是让 LLM 对每份输出临时写 rubric。输入是冻结的 case metadata、user-state ledger、证据/权限和四类 contract；流程为：</w:t>
      </w:r>
      <w:r>
        <w:rPr>
          <w:rFonts w:ascii="Courier New" w:hAnsi="Courier New" w:eastAsia="PingFang SC"/>
          <w:color w:val="6A3E00"/>
          <w:sz w:val="20"/>
        </w:rPr>
        <w:t>validate → 按 intent/deliverable/operator/risk 路由模板 → 填入预算/证据/用户参数 → leaf expansion → 校验并冻结 bundle</w:t>
      </w:r>
      <w:r>
        <w:rPr>
          <w:rFonts w:ascii="Calibri" w:hAnsi="Calibri" w:eastAsia="PingFang SC"/>
        </w:rPr>
        <w:t>。Leaf expansion 是在运行前把“适合用户”“备忘录完整”等复合要求拆成可独立观察、带 0/1 或 0/1/2 文字锚点的原子项，不是评分后再细化。当前文件定义接口与端到端示例；自动 validator 和 compiler 是第 1 周实现项。</w:t>
      </w:r>
    </w:p>
    <w:p>
      <w:r>
        <w:rPr>
          <w:rFonts w:ascii="Calibri" w:hAnsi="Calibri" w:eastAsia="PingFang SC"/>
        </w:rPr>
        <w:t xml:space="preserve">固定模板分六层：core 所有 case 必选；personalization 由 task-relevant user facts 和 must-change 激活；intent 由六类研究意图选择；deliverable 由 report / memo / workbook / code / slides / webpage / multi-file 选择；operator 用于 acquire/preserve/use/update 诊断；risk 由 stakes、permission、敏感信息和 must-not 激活。统一的是 leaf schema、适用条件和聚合规则，而不是让所有任务共用一张表。每条 leaf 显式记录 </w:t>
      </w:r>
      <w:r>
        <w:rPr>
          <w:rFonts w:ascii="Courier New" w:hAnsi="Courier New" w:eastAsia="PingFang SC"/>
          <w:color w:val="6A3E00"/>
          <w:sz w:val="20"/>
        </w:rPr>
        <w:t>criterion_id</w:t>
      </w:r>
      <w:r>
        <w:rPr>
          <w:rFonts w:ascii="Calibri" w:hAnsi="Calibri" w:eastAsia="PingFang SC"/>
        </w:rPr>
        <w:t xml:space="preserve">、rubric owner、observable、evidence、scoring anchors、weight、hard gate、judge route 和 </w:t>
      </w:r>
      <w:r>
        <w:rPr>
          <w:rFonts w:ascii="Courier New" w:hAnsi="Courier New" w:eastAsia="PingFang SC"/>
          <w:color w:val="6A3E00"/>
          <w:sz w:val="20"/>
        </w:rPr>
        <w:t>direct_metric_bindings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预定义 library 有 36 个 module：6 Core、9 Personalization、6 Intent、7 Deliverable、4 Operator、4 Risk；每个 case 只激活适用子集。report/memo/table 先以 12–22 active leaves 做主矩阵，code/slides/web/multi-file 先作为 probe。相对 PDR-Bench 的重点不是“维度更多”，而是 module 版本预冻结、每个 personalization leaf 追溯到授权 user fact + must-change、同一 PF bundle 交叉评 matched/swapped，并用 must-hold/must-not 防止差异和过度个性化冒充分数。完整库见 </w:t>
      </w: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r>
        <w:rPr>
          <w:rFonts w:ascii="Calibri" w:hAnsi="Calibri" w:eastAsia="PingFang SC"/>
        </w:rPr>
        <w:t>绑定规则固定为：common/intent/deliverable leaves → TQ（事实项同时 → FR）；must-change leaves → 指定用户的 PF；must-hold leaves → TQ + Neutral Invariance；must-not violations → MP / hard gate；clarify leaves → Clarification Correctness，无依据假设另入 MP；operator leaves → 与同前缀 clean control 的诊断差分。库的“全面性”由 content mapping、matched/swapped 区分力、无关 cue invariance、module 去重/消融、权重与 active/NA 分母敏感性、目标用户/专家效度和 residual-error saturation 共同验证，不由 module 数量证明。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  <w:r>
        <w:rPr>
          <w:rFonts w:ascii="Calibri" w:hAnsi="Calibri" w:eastAsia="PingFang SC"/>
        </w:rPr>
        <w:t xml:space="preserve"> CFA 不直接绑定 leaf。先保留 </w:t>
      </w:r>
      <w:r>
        <w:rPr>
          <w:rFonts w:ascii="Courier New" w:hAnsi="Courier New" w:eastAsia="PingFang SC"/>
          <w:color w:val="6A3E00"/>
          <w:sz w:val="20"/>
        </w:rPr>
        <w:t>Δ_a=PF_a(Y_a)-PF_a(Y_b)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Δ_b=PF_b(Y_b)-PF_b(Y_a)</w:t>
      </w:r>
      <w:r>
        <w:rPr>
          <w:rFonts w:ascii="Calibri" w:hAnsi="Calibri" w:eastAsia="PingFang SC"/>
        </w:rPr>
        <w:t xml:space="preserve">，再报告 </w:t>
      </w:r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 xml:space="preserve"> 和不可方向补偿的 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；只有两方向都为正才算 bilateral success；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 uplift：</w:t>
      </w:r>
      <w:r>
        <w:rPr>
          <w:rFonts w:ascii="Calibri" w:hAnsi="Calibri" w:eastAsia="PingFang SC"/>
        </w:rPr>
        <w:t xml:space="preserve"> 利用主矩阵已有 </w:t>
      </w:r>
      <w:r>
        <w:rPr>
          <w:rFonts w:ascii="Courier New" w:hAnsi="Courier New" w:eastAsia="PingFang SC"/>
          <w:color w:val="6A3E00"/>
          <w:sz w:val="20"/>
        </w:rPr>
        <w:t>Y_0</w:t>
      </w:r>
      <w:r>
        <w:rPr>
          <w:rFonts w:ascii="Calibri" w:hAnsi="Calibri" w:eastAsia="PingFang SC"/>
        </w:rPr>
        <w:t xml:space="preserve">，报告 </w:t>
      </w:r>
      <w:r>
        <w:rPr>
          <w:rFonts w:ascii="Courier New" w:hAnsi="Courier New" w:eastAsia="PingFang SC"/>
          <w:color w:val="6A3E00"/>
          <w:sz w:val="20"/>
        </w:rPr>
        <w:t>G_a=PF_a(Y_a)-PF_a(Y_0)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G_b=PF_b(Y_b)-PF_b(Y_0)</w:t>
      </w:r>
      <w:r>
        <w:rPr>
          <w:rFonts w:ascii="Calibri" w:hAnsi="Calibri" w:eastAsia="PingFang SC"/>
        </w:rPr>
        <w:t xml:space="preserve"> 及 mean/min；它把“能区分用户”和“确实让用户受益”分开；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Update：</w:t>
      </w:r>
      <w:r>
        <w:rPr>
          <w:rFonts w:ascii="Calibri" w:hAnsi="Calibri" w:eastAsia="PingFang SC"/>
        </w:rPr>
        <w:t xml:space="preserve"> 长程干扰下的适配保留率、动态状态采用正确率与旧状态残留率。</w:t>
      </w:r>
    </w:p>
    <w:p>
      <w:r>
        <w:rPr>
          <w:rFonts w:ascii="Calibri" w:hAnsi="Calibri" w:eastAsia="PingFang SC"/>
        </w:rPr>
        <w:t xml:space="preserve">主榜先应用 TQ、FR 和关键隐私/安全门槛，再把 personalization 作为二维 profile 报告：跨用户 specificity（CFA）× 相对 task-only benefit（Gain）。只有 </w:t>
      </w:r>
      <w:r>
        <w:rPr>
          <w:rFonts w:ascii="Courier New" w:hAnsi="Courier New" w:eastAsia="PingFang SC"/>
          <w:color w:val="6A3E00"/>
          <w:sz w:val="20"/>
        </w:rPr>
        <w:t>Δ_a,Δ_b&gt;0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G_a,G_b≥0</w:t>
      </w:r>
      <w:r>
        <w:rPr>
          <w:rFonts w:ascii="Calibri" w:hAnsi="Calibri" w:eastAsia="PingFang SC"/>
        </w:rPr>
        <w:t xml:space="preserve"> 且共同质量/边界过门，才进入确认性成功率；不把这些指标平均成可补偿总分。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Rubric 还必须通过内容映射、matched/swapped 区分、nuisance invariance、去重/消融、权重敏感性、目标用户/专家效度和 residual-error saturation；未通过的 module 删除、合并或降为探索性分析。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确认性分析以 task family 为聚类单位，对双向 CFA 与 task-only uplift 做 family-blocked permutation test 和 cluster bootstrap；同一 family 的四格评分不当作独立样本。目标用户盲评报告 matched/swapped/task-only 的 pairwise match win probability（tie=0.5）；带 family/user/rater 随机效应的 Bradley–Terry 或 ordinal mixed model仅作数据量足够时的敏感性分析。排名差异若小于人评与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交叉评分、双向非补偿门和 task-only uplift，分别识别用户特异性与真实受益；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参考交付物在共同质量达标时对两个用户都显示 matched 优于 swapped，且相对 task-only 的双向 uplift 不为负；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1–2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Atlas/schema；完成 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缩小 ontology；删除无稳定用户差异的任务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3–4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真值/契约/rubric；240-unit JudgeBench 与 6-family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无区分力 module 不进主榜；judge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5–6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主矩阵、anchor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agent；只保留证据充分的过程结论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7–8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统计、覆盖/消融、结果冻结、复现、全文和匿名材料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删除不受支持的支线；不再增加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Core，论文仅声称测量最终交付物的用户适配。只有当轨迹审计与受控压力分叉完成时，才报告保持与更新机制。本项目不声称首版覆盖所有 Deep Research 模式，只对 coverage manifest 中标记为 tested 的组合作结论。</w:t>
      </w:r>
    </w:p>
    <w:p>
      <w:pPr>
        <w:sectPr>
          <w:headerReference w:type="default" r:id="rId33"/>
          <w:footerReference w:type="default" r:id="rId34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OpenCompass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EvalScope documentation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LiveResearchBench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PaperBench</w:t>
        </w:r>
      </w:hyperlink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Setoka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PersonaTrail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TARS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Agents Don't Just Agree, They Remember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APeB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LaMP</w:t>
        </w:r>
      </w:hyperlink>
      <w:r>
        <w:rPr>
          <w:rFonts w:ascii="Calibri" w:hAnsi="Calibri" w:eastAsia="PingFang SC"/>
          <w:sz w:val="15"/>
        </w:rPr>
        <w:t>. ACL,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PersonaLens</w:t>
        </w:r>
      </w:hyperlink>
      <w:r>
        <w:rPr>
          <w:rFonts w:ascii="Calibri" w:hAnsi="Calibri" w:eastAsia="PingFang SC"/>
          <w:sz w:val="15"/>
        </w:rPr>
        <w:t>. Findings of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ETAPP</w:t>
        </w:r>
      </w:hyperlink>
      <w:r>
        <w:rPr>
          <w:rFonts w:ascii="Calibri" w:hAnsi="Calibri" w:eastAsia="PingFang SC"/>
          <w:sz w:val="15"/>
        </w:rPr>
        <w:t>.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PersonaMem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Personalized Deep Research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Learning Personalized Agents from Human Feedback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Mem2ActBench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When Personalization Legitimizes Risks</w:t>
        </w:r>
      </w:hyperlink>
      <w:r>
        <w:rPr>
          <w:rFonts w:ascii="Calibri" w:hAnsi="Calibri" w:eastAsia="PingFang SC"/>
          <w:sz w:val="15"/>
        </w:rPr>
        <w:t>. ACL,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