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v0.14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对照检验用户特异价值，同时对事实性、共同质量和隐私设置不可补偿门槛。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现有 Deep Research 基准主要评价事实性、任务覆盖、搜索与引用质量，尚不能充分判断最终交付物是否适合特定用户。本项目拟构建 DeepAlign-Bench，用于评估长程智能体能否从不同渠道获得与任务相关的用户信息，在执行过程中保持和使用这些信息，并交付对目标用户具有特异价值的结果。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OpenCompass 和 EvalScope 提供了模型适配、任务调度、评估与报告的工程框架，但不直接定义个性化测量构念。现有 Deep Research 基准多关注事实、搜索、引用和报告质量。PDR-Bench 引入了真实 persona，但主要比较 task-only、context 和 persona 条件的平均分，仍难排除以下替代解释：输入更长导致输出更长；评委偏好复述 persona 或特定文风；persona 提供了额外任务信息，而不是产生了真正的用户适配。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本项目解决四个问题：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如何证明交付物差异来自用户需求，而不是篇幅、格式或关键词；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交付物，且该差异不能由输出长度或通用质量解释。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语义内容相同时，非结构化历史的适配优势低于结构化 persona。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使用情境包括个人与日常、专业与企业、学术与前沿；研究意图包括理解与综合、发现与枚举、比较与决策、评估与预测、规划/设计/排障、验证与审计。需求剖面分别标注概念广度、逻辑嵌套、探索性、搜索 fan-out、时效、风险/可逆性和交互需求，不压缩成单一难度分。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固定任务、证据和资源，构造两个对结果有实质影响的强对比用户。Persona 是 task-conditioned user-state ledger 的一种展示。每条用户信息记录来源、时间、可信度、任务相关性、敏感度，以及是否允许写入最终交付物。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Frozen Core：</w:t>
      </w:r>
      <w:r>
        <w:rPr>
          <w:rFonts w:ascii="Calibri" w:hAnsi="Calibri" w:eastAsia="PingFang SC"/>
        </w:rPr>
        <w:t xml:space="preserve"> 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Web：</w:t>
      </w:r>
      <w:r>
        <w:rPr>
          <w:rFonts w:ascii="Calibri" w:hAnsi="Calibri" w:eastAsia="PingFang SC"/>
        </w:rPr>
        <w:t xml:space="preserve"> 记录日期、搜索服务和网页快照，仅用于生态有效性；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Longitudinal/Interactive：</w:t>
      </w:r>
      <w:r>
        <w:rPr>
          <w:rFonts w:ascii="Calibri" w:hAnsi="Calibri" w:eastAsia="PingFang SC"/>
        </w:rPr>
        <w:t xml:space="preserve"> 用户状态中途变化，用于保持、更新和恢复测试。</w:t>
      </w:r>
    </w:p>
    <w:p>
      <w:r>
        <w:rPr>
          <w:rFonts w:ascii="Calibri" w:hAnsi="Calibri" w:eastAsia="PingFang SC"/>
        </w:rPr>
        <w:t>8 个 anchor family 加入 persona 错配、无关属性、新旧信息冲突、context dilution、agent handoff、动态更新和 re-anchor。证据轨道、工具预算和产品可复现性分开报告，不混合为单一总榜。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must-hold，再处理分歧。Rubric 必须通过 matched/swapped 区分力、无关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 matched/swapped 任务族识别用户特异价值的反事实评估方法；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个性化效应在控制输出长度、共同质量和评委偏差后仍存在；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Judge 偏好文风或长度：</w:t>
      </w:r>
      <w:r>
        <w:rPr>
          <w:rFonts w:ascii="Calibri" w:hAnsi="Calibri" w:eastAsia="PingFang SC"/>
        </w:rPr>
        <w:t xml:space="preserve"> 运行位置交换、长度匹配、关键词诱饵和弃权测试；低置信样本转人评。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EvalScope Documentation. </w:t>
      </w:r>
      <w:r>
        <w:rPr>
          <w:rFonts w:ascii="Calibri" w:hAnsi="Calibri" w:eastAsia="PingFang SC"/>
          <w:i/>
          <w:sz w:val="19"/>
        </w:rPr>
        <w:t>Getting Started and Evaluation Backends</w:t>
      </w:r>
      <w:r>
        <w:rPr>
          <w:rFonts w:ascii="Calibri" w:hAnsi="Calibri" w:eastAsia="PingFang SC"/>
          <w:sz w:val="19"/>
        </w:rPr>
        <w:t>.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arXiv:2412.14470, 2024.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Starace et al. </w:t>
      </w:r>
      <w:r>
        <w:rPr>
          <w:rFonts w:ascii="Calibri" w:hAnsi="Calibri" w:eastAsia="PingFang SC"/>
          <w:i/>
          <w:sz w:val="19"/>
        </w:rPr>
        <w:t>PaperBench: Evaluating AI's Ability to Replicate AI Research</w:t>
      </w:r>
      <w:r>
        <w:rPr>
          <w:rFonts w:ascii="Calibri" w:hAnsi="Calibri" w:eastAsia="PingFang SC"/>
          <w:sz w:val="19"/>
        </w:rPr>
        <w:t>. OpenAI,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arXiv:2407.15711, 2024.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Abaskohi et al. </w:t>
      </w:r>
      <w:r>
        <w:rPr>
          <w:rFonts w:ascii="Calibri" w:hAnsi="Calibri" w:eastAsia="PingFang SC"/>
          <w:i/>
          <w:sz w:val="19"/>
        </w:rPr>
        <w:t>DRBench: A Realistic Benchmark for Enterprise Deep Research</w:t>
      </w:r>
      <w:r>
        <w:rPr>
          <w:rFonts w:ascii="Calibri" w:hAnsi="Calibri" w:eastAsia="PingFang SC"/>
          <w:sz w:val="19"/>
        </w:rPr>
        <w:t>. arXiv:2510.00172,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arXiv:2411.12990, 2024.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Zhu et al. </w:t>
      </w:r>
      <w:r>
        <w:rPr>
          <w:rFonts w:ascii="Calibri" w:hAnsi="Calibri" w:eastAsia="PingFang SC"/>
          <w:i/>
          <w:sz w:val="19"/>
        </w:rPr>
        <w:t>JudgeLM: Fine-tuned Large Language Models are Scalable Judges</w:t>
      </w:r>
      <w:r>
        <w:rPr>
          <w:rFonts w:ascii="Calibri" w:hAnsi="Calibri" w:eastAsia="PingFang SC"/>
          <w:sz w:val="19"/>
        </w:rPr>
        <w:t>. arXiv:2310.17631,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Huang et al. </w:t>
      </w:r>
      <w:r>
        <w:rPr>
          <w:rFonts w:ascii="Calibri" w:hAnsi="Calibri" w:eastAsia="PingFang SC"/>
          <w:i/>
          <w:sz w:val="19"/>
        </w:rPr>
        <w:t>An Empirical Study of LLM-as-a-Judge for LLM Evaluation</w:t>
      </w:r>
      <w:r>
        <w:rPr>
          <w:rFonts w:ascii="Calibri" w:hAnsi="Calibri" w:eastAsia="PingFang SC"/>
          <w:sz w:val="19"/>
        </w:rPr>
        <w:t>. arXiv:2403.02839, 2024.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  <w:jc w:val="left"/>
    </w:pPr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