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v0.24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。每个 failure mode 至少在两个不同任务或交付物的 anchor 上测试；每个 anchor 只承担 3–4 个最自然的 mode；每个强扰动都有同 anchor、同前缀、同预算的 clean 或 light control。Anchor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任务”不表示所有任务共用同一张评分表。统一的是叶节点格式和校准方法；具体评价项由 Atlas 元数据选择。对 case (c)，冻结后的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规定缺少关键信息时何时应提问或给条件分支。它们把用户事实、反事实输出和 judge 的具体判定直接连起来，比一个笼统的“个性化总分”更容易审计。</w:t>
      </w:r>
    </w:p>
    <w:p>
      <w:r>
        <w:rPr>
          <w:rFonts w:ascii="Calibri" w:hAnsi="Calibri" w:eastAsia="PingFang SC"/>
        </w:rPr>
        <w:t>Rubric compiler 必须接受四项覆盖校验：</w:t>
      </w:r>
    </w:p>
    <w:p>
      <w:pPr>
        <w:numPr>
          <w:ilvl w:val="0"/>
          <w:numId w:val="22"/>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2"/>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2"/>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2"/>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如果一个模块在人类之间无法稳定判断，或不能区分 matched 和 swapped 输出，就删除、合并或降为探索性分析，不能靠调整权重把它保留在主分中。Rubric 的通用性来自统一接口、明确的适用条件和跨类型校准，而不是让所有任务强行使用同一张表。</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 xml:space="preserve">每个叶节点都记录 ID、所属模块、类型、适用条件、可观察要求、证据来源、预期方向、权重、评分锚点、允许替代、适用用户、置信度、硬门槛、反事实对照和首选 verifier。机器可读字段包括 </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w:t>
      </w:r>
      <w:r>
        <w:rPr>
          <w:rFonts w:ascii="Courier New" w:hAnsi="Courier New" w:eastAsia="PingFang SC"/>
          <w:color w:val="6A3E00"/>
          <w:sz w:val="20"/>
        </w:rPr>
        <w:t>applicability_predicate</w:t>
      </w:r>
      <w:r>
        <w:rPr>
          <w:rFonts w:ascii="Calibri" w:hAnsi="Calibri" w:eastAsia="PingFang SC"/>
        </w:rPr>
        <w:t xml:space="preserve"> 等。正向项采用带文字锚点的 0/0.5/1 或 0/1/2；可以客观判断的项目尽量二元；违规项单独扣分，不使用含糊的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3"/>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3"/>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3"/>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3"/>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3"/>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4"/>
        </w:numPr>
        <w:spacing w:after="80" w:line="290" w:lineRule="auto"/>
        <w:ind w:left="540" w:hanging="279"/>
      </w:pPr>
      <w:r>
        <w:rPr>
          <w:rFonts w:ascii="Calibri" w:hAnsi="Calibri" w:eastAsia="PingFang SC"/>
        </w:rPr>
        <w:t>Task only；</w:t>
      </w:r>
    </w:p>
    <w:p>
      <w:pPr>
        <w:numPr>
          <w:ilvl w:val="0"/>
          <w:numId w:val="24"/>
        </w:numPr>
        <w:spacing w:after="80" w:line="290" w:lineRule="auto"/>
        <w:ind w:left="540" w:hanging="279"/>
      </w:pPr>
      <w:r>
        <w:rPr>
          <w:rFonts w:ascii="Calibri" w:hAnsi="Calibri" w:eastAsia="PingFang SC"/>
        </w:rPr>
        <w:t>Oracle structured persona；</w:t>
      </w:r>
    </w:p>
    <w:p>
      <w:pPr>
        <w:numPr>
          <w:ilvl w:val="0"/>
          <w:numId w:val="24"/>
        </w:numPr>
        <w:spacing w:after="80" w:line="290" w:lineRule="auto"/>
        <w:ind w:left="540" w:hanging="279"/>
      </w:pPr>
      <w:r>
        <w:rPr>
          <w:rFonts w:ascii="Calibri" w:hAnsi="Calibri" w:eastAsia="PingFang SC"/>
        </w:rPr>
        <w:t>语义等价的自然对话历史；</w:t>
      </w:r>
    </w:p>
    <w:p>
      <w:pPr>
        <w:numPr>
          <w:ilvl w:val="0"/>
          <w:numId w:val="24"/>
        </w:numPr>
        <w:spacing w:after="80" w:line="290" w:lineRule="auto"/>
        <w:ind w:left="540" w:hanging="279"/>
      </w:pPr>
      <w:r>
        <w:rPr>
          <w:rFonts w:ascii="Calibri" w:hAnsi="Calibri" w:eastAsia="PingFang SC"/>
        </w:rPr>
        <w:t>历史 + 检索式 memory；</w:t>
      </w:r>
    </w:p>
    <w:p>
      <w:pPr>
        <w:numPr>
          <w:ilvl w:val="0"/>
          <w:numId w:val="24"/>
        </w:numPr>
        <w:spacing w:after="80" w:line="290" w:lineRule="auto"/>
        <w:ind w:left="540" w:hanging="279"/>
      </w:pPr>
      <w:r>
        <w:rPr>
          <w:rFonts w:ascii="Calibri" w:hAnsi="Calibri" w:eastAsia="PingFang SC"/>
        </w:rPr>
        <w:t>主动澄清；</w:t>
      </w:r>
    </w:p>
    <w:p>
      <w:pPr>
        <w:numPr>
          <w:ilvl w:val="0"/>
          <w:numId w:val="24"/>
        </w:numPr>
        <w:spacing w:after="80" w:line="290" w:lineRule="auto"/>
        <w:ind w:left="540" w:hanging="279"/>
      </w:pPr>
      <w:r>
        <w:rPr>
          <w:rFonts w:ascii="Calibri" w:hAnsi="Calibri" w:eastAsia="PingFang SC"/>
        </w:rPr>
        <w:t>Persona shuffled（目标用户不变、只交换可见 signal bundle 的负对照）；</w:t>
      </w:r>
    </w:p>
    <w:p>
      <w:pPr>
        <w:numPr>
          <w:ilvl w:val="0"/>
          <w:numId w:val="24"/>
        </w:numPr>
        <w:spacing w:after="80" w:line="290" w:lineRule="auto"/>
        <w:ind w:left="540" w:hanging="279"/>
      </w:pPr>
      <w:r>
        <w:rPr>
          <w:rFonts w:ascii="Calibri" w:hAnsi="Calibri" w:eastAsia="PingFang SC"/>
        </w:rPr>
        <w:t>Irrelevant persona（无关属性，过度个性化探针）；</w:t>
      </w:r>
    </w:p>
    <w:p>
      <w:pPr>
        <w:numPr>
          <w:ilvl w:val="0"/>
          <w:numId w:val="24"/>
        </w:numPr>
        <w:spacing w:after="80" w:line="290" w:lineRule="auto"/>
        <w:ind w:left="540" w:hanging="279"/>
      </w:pPr>
      <w:r>
        <w:rPr>
          <w:rFonts w:ascii="Calibri" w:hAnsi="Calibri" w:eastAsia="PingFang SC"/>
        </w:rPr>
        <w:t>Contradictory/dated history（冲突与时效）；</w:t>
      </w:r>
    </w:p>
    <w:p>
      <w:pPr>
        <w:numPr>
          <w:ilvl w:val="0"/>
          <w:numId w:val="24"/>
        </w:numPr>
        <w:spacing w:after="80" w:line="290" w:lineRule="auto"/>
        <w:ind w:left="540" w:hanging="279"/>
      </w:pPr>
      <w:r>
        <w:rPr>
          <w:rFonts w:ascii="Calibri" w:hAnsi="Calibri" w:eastAsia="PingFang SC"/>
        </w:rPr>
        <w:t>Context dilution（不同长度和位置）；</w:t>
      </w:r>
    </w:p>
    <w:p>
      <w:pPr>
        <w:numPr>
          <w:ilvl w:val="0"/>
          <w:numId w:val="24"/>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5"/>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5"/>
        </w:numPr>
        <w:spacing w:after="80" w:line="290" w:lineRule="auto"/>
        <w:ind w:left="540" w:hanging="279"/>
      </w:pPr>
      <w:r>
        <w:rPr>
          <w:rFonts w:ascii="Calibri" w:hAnsi="Calibri" w:eastAsia="PingFang SC"/>
          <w:b/>
        </w:rPr>
        <w:t>Signal acquisition board</w:t>
      </w:r>
      <w:r>
        <w:rPr>
          <w:rFonts w:ascii="Calibri" w:hAnsi="Calibri" w:eastAsia="PingFang SC"/>
        </w:rPr>
        <w:t>：按 structured persona、natural history、clarification、workspace/history 报 Worst-view CFA、Cue Gap 和 Clarification Value；回答系统需要多显式的用户信息。</w:t>
      </w:r>
    </w:p>
    <w:p>
      <w:pPr>
        <w:numPr>
          <w:ilvl w:val="0"/>
          <w:numId w:val="25"/>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5"/>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6"/>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6"/>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6"/>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6"/>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6"/>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6"/>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7"/>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7"/>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7"/>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7"/>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7"/>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7"/>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7"/>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7"/>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7"/>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参考文献</w:t>
      </w:r>
    </w:p>
    <w:p>
      <w:pPr>
        <w:spacing w:after="40" w:line="252" w:lineRule="auto"/>
        <w:ind w:left="360" w:hanging="360"/>
      </w:pPr>
      <w:r>
        <w:rPr>
          <w:rFonts w:ascii="Calibri" w:hAnsi="Calibri" w:eastAsia="PingFang SC"/>
          <w:sz w:val="18"/>
        </w:rPr>
        <w:t xml:space="preserve">[1] OpenCompass Team. </w:t>
      </w:r>
      <w:r>
        <w:rPr>
          <w:rFonts w:ascii="Calibri" w:hAnsi="Calibri" w:eastAsia="PingFang SC"/>
          <w:i/>
          <w:sz w:val="18"/>
        </w:rPr>
        <w:t>OpenCompass: A Universal Evaluation Platform for Large Language Models</w:t>
      </w:r>
      <w:r>
        <w:rPr>
          <w:rFonts w:ascii="Calibri" w:hAnsi="Calibri" w:eastAsia="PingFang SC"/>
          <w:sz w:val="18"/>
        </w:rPr>
        <w:t xml:space="preserve">. arXiv:2605.19276, 2026. </w:t>
      </w:r>
      <w:hyperlink r:id="rId33">
        <w:r>
          <w:rPr>
            <w:rFonts w:ascii="Calibri" w:hAnsi="Calibri" w:eastAsia="PingFang SC"/>
            <w:color w:val="2E74B5"/>
            <w:u w:val="single"/>
            <w:sz w:val="18"/>
            <w:szCs w:val="18"/>
          </w:rPr>
          <w:t>https://arxiv.org/abs/2605.19276</w:t>
        </w:r>
      </w:hyperlink>
    </w:p>
    <w:p>
      <w:pPr>
        <w:spacing w:after="40" w:line="252" w:lineRule="auto"/>
        <w:ind w:left="360" w:hanging="360"/>
      </w:pPr>
      <w:r>
        <w:rPr>
          <w:rFonts w:ascii="Calibri" w:hAnsi="Calibri" w:eastAsia="PingFang SC"/>
          <w:sz w:val="18"/>
        </w:rPr>
        <w:t xml:space="preserve">[2] ModelScope. </w:t>
      </w:r>
      <w:r>
        <w:rPr>
          <w:rFonts w:ascii="Calibri" w:hAnsi="Calibri" w:eastAsia="PingFang SC"/>
          <w:i/>
          <w:sz w:val="18"/>
        </w:rPr>
        <w:t>EvalScope Introduction</w:t>
      </w:r>
      <w:r>
        <w:rPr>
          <w:rFonts w:ascii="Calibri" w:hAnsi="Calibri" w:eastAsia="PingFang SC"/>
          <w:sz w:val="18"/>
        </w:rPr>
        <w:t xml:space="preserve">. </w:t>
      </w:r>
      <w:hyperlink r:id="rId34">
        <w:r>
          <w:rPr>
            <w:rFonts w:ascii="Calibri" w:hAnsi="Calibri" w:eastAsia="PingFang SC"/>
            <w:color w:val="2E74B5"/>
            <w:u w:val="single"/>
            <w:sz w:val="18"/>
            <w:szCs w:val="18"/>
          </w:rPr>
          <w:t>https://evalscope.readthedocs.io/en/refact_readme/get_started/introduction.html</w:t>
        </w:r>
      </w:hyperlink>
    </w:p>
    <w:p>
      <w:pPr>
        <w:spacing w:after="40" w:line="252" w:lineRule="auto"/>
        <w:ind w:left="360" w:hanging="360"/>
      </w:pPr>
      <w:r>
        <w:rPr>
          <w:rFonts w:ascii="Calibri" w:hAnsi="Calibri" w:eastAsia="PingFang SC"/>
          <w:sz w:val="18"/>
        </w:rPr>
        <w:t xml:space="preserve">[3] Zhang et al. </w:t>
      </w:r>
      <w:r>
        <w:rPr>
          <w:rFonts w:ascii="Calibri" w:hAnsi="Calibri" w:eastAsia="PingFang SC"/>
          <w:i/>
          <w:sz w:val="18"/>
        </w:rPr>
        <w:t>Agent-SafetyBench: Evaluating the Safety of LLM Agents</w:t>
      </w:r>
      <w:r>
        <w:rPr>
          <w:rFonts w:ascii="Calibri" w:hAnsi="Calibri" w:eastAsia="PingFang SC"/>
          <w:sz w:val="18"/>
        </w:rPr>
        <w:t xml:space="preserve">. arXiv:2412.14470, 2024/2025. </w:t>
      </w:r>
      <w:hyperlink r:id="rId35">
        <w:r>
          <w:rPr>
            <w:rFonts w:ascii="Calibri" w:hAnsi="Calibri" w:eastAsia="PingFang SC"/>
            <w:color w:val="2E74B5"/>
            <w:u w:val="single"/>
            <w:sz w:val="18"/>
            <w:szCs w:val="18"/>
          </w:rPr>
          <w:t>https://arxiv.org/abs/2412.14470</w:t>
        </w:r>
      </w:hyperlink>
    </w:p>
    <w:p>
      <w:pPr>
        <w:spacing w:after="40" w:line="252" w:lineRule="auto"/>
        <w:ind w:left="360" w:hanging="360"/>
      </w:pPr>
      <w:r>
        <w:rPr>
          <w:rFonts w:ascii="Calibri" w:hAnsi="Calibri" w:eastAsia="PingFang SC"/>
          <w:sz w:val="18"/>
        </w:rPr>
        <w:t xml:space="preserve">[4] </w:t>
      </w:r>
      <w:r>
        <w:rPr>
          <w:rFonts w:ascii="Calibri" w:hAnsi="Calibri" w:eastAsia="PingFang SC"/>
          <w:i/>
          <w:sz w:val="18"/>
        </w:rPr>
        <w:t>Towards Personalized Deep Research: Benchmarks and Evaluations</w:t>
      </w:r>
      <w:r>
        <w:rPr>
          <w:rFonts w:ascii="Calibri" w:hAnsi="Calibri" w:eastAsia="PingFang SC"/>
          <w:sz w:val="18"/>
        </w:rPr>
        <w:t xml:space="preserve">. arXiv:2509.25106; ICLR 2026. </w:t>
      </w:r>
      <w:hyperlink r:id="rId25">
        <w:r>
          <w:rPr>
            <w:rFonts w:ascii="Calibri" w:hAnsi="Calibri" w:eastAsia="PingFang SC"/>
            <w:color w:val="2E74B5"/>
            <w:u w:val="single"/>
            <w:sz w:val="18"/>
            <w:szCs w:val="18"/>
          </w:rPr>
          <w:t>https://arxiv.org/abs/2509.25106</w:t>
        </w:r>
      </w:hyperlink>
    </w:p>
    <w:p>
      <w:pPr>
        <w:spacing w:after="40" w:line="252" w:lineRule="auto"/>
        <w:ind w:left="360" w:hanging="360"/>
      </w:pPr>
      <w:r>
        <w:rPr>
          <w:rFonts w:ascii="Calibri" w:hAnsi="Calibri" w:eastAsia="PingFang SC"/>
          <w:sz w:val="18"/>
        </w:rPr>
        <w:t xml:space="preserve">[5] Mind Lab. </w:t>
      </w:r>
      <w:r>
        <w:rPr>
          <w:rFonts w:ascii="Calibri" w:hAnsi="Calibri" w:eastAsia="PingFang SC"/>
          <w:i/>
          <w:sz w:val="18"/>
        </w:rPr>
        <w:t>Macaron-V1-Preview: LivingBench</w:t>
      </w:r>
      <w:r>
        <w:rPr>
          <w:rFonts w:ascii="Calibri" w:hAnsi="Calibri" w:eastAsia="PingFang SC"/>
          <w:sz w:val="18"/>
        </w:rPr>
        <w:t xml:space="preserve">. </w:t>
      </w:r>
      <w:hyperlink r:id="rId38">
        <w:r>
          <w:rPr>
            <w:rFonts w:ascii="Calibri" w:hAnsi="Calibri" w:eastAsia="PingFang SC"/>
            <w:color w:val="2E74B5"/>
            <w:u w:val="single"/>
            <w:sz w:val="18"/>
            <w:szCs w:val="18"/>
          </w:rPr>
          <w:t>https://macaron.im/mindlab/research/macaron-v1-preview</w:t>
        </w:r>
      </w:hyperlink>
    </w:p>
    <w:p>
      <w:pPr>
        <w:spacing w:after="40" w:line="252" w:lineRule="auto"/>
        <w:ind w:left="360" w:hanging="360"/>
      </w:pPr>
      <w:r>
        <w:rPr>
          <w:rFonts w:ascii="Calibri" w:hAnsi="Calibri" w:eastAsia="PingFang SC"/>
          <w:sz w:val="18"/>
        </w:rPr>
        <w:t xml:space="preserve">[6] Du et al. </w:t>
      </w:r>
      <w:r>
        <w:rPr>
          <w:rFonts w:ascii="Calibri" w:hAnsi="Calibri" w:eastAsia="PingFang SC"/>
          <w:i/>
          <w:sz w:val="18"/>
        </w:rPr>
        <w:t>DeepResearch Bench: A Comprehensive Benchmark for Deep Research Agents</w:t>
      </w:r>
      <w:r>
        <w:rPr>
          <w:rFonts w:ascii="Calibri" w:hAnsi="Calibri" w:eastAsia="PingFang SC"/>
          <w:sz w:val="18"/>
        </w:rPr>
        <w:t xml:space="preserve">. arXiv:2506.11763. </w:t>
      </w:r>
      <w:hyperlink r:id="rId39">
        <w:r>
          <w:rPr>
            <w:rFonts w:ascii="Calibri" w:hAnsi="Calibri" w:eastAsia="PingFang SC"/>
            <w:color w:val="2E74B5"/>
            <w:u w:val="single"/>
            <w:sz w:val="18"/>
            <w:szCs w:val="18"/>
          </w:rPr>
          <w:t>https://arxiv.org/abs/2506.11763</w:t>
        </w:r>
      </w:hyperlink>
    </w:p>
    <w:p>
      <w:pPr>
        <w:spacing w:after="40" w:line="252" w:lineRule="auto"/>
        <w:ind w:left="360" w:hanging="360"/>
      </w:pPr>
      <w:r>
        <w:rPr>
          <w:rFonts w:ascii="Calibri" w:hAnsi="Calibri" w:eastAsia="PingFang SC"/>
          <w:sz w:val="18"/>
        </w:rPr>
        <w:t xml:space="preserve">[7] Gou et al. </w:t>
      </w:r>
      <w:r>
        <w:rPr>
          <w:rFonts w:ascii="Calibri" w:hAnsi="Calibri" w:eastAsia="PingFang SC"/>
          <w:i/>
          <w:sz w:val="18"/>
        </w:rPr>
        <w:t>Mind2Web 2: Evaluating Agentic Search with Agent-as-a-Judge</w:t>
      </w:r>
      <w:r>
        <w:rPr>
          <w:rFonts w:ascii="Calibri" w:hAnsi="Calibri" w:eastAsia="PingFang SC"/>
          <w:sz w:val="18"/>
        </w:rPr>
        <w:t xml:space="preserve">. arXiv:2506.21506. </w:t>
      </w:r>
      <w:hyperlink r:id="rId40">
        <w:r>
          <w:rPr>
            <w:rFonts w:ascii="Calibri" w:hAnsi="Calibri" w:eastAsia="PingFang SC"/>
            <w:color w:val="2E74B5"/>
            <w:u w:val="single"/>
            <w:sz w:val="18"/>
            <w:szCs w:val="18"/>
          </w:rPr>
          <w:t>https://arxiv.org/abs/2506.21506</w:t>
        </w:r>
      </w:hyperlink>
    </w:p>
    <w:p>
      <w:pPr>
        <w:spacing w:after="40" w:line="252" w:lineRule="auto"/>
        <w:ind w:left="360" w:hanging="360"/>
      </w:pPr>
      <w:r>
        <w:rPr>
          <w:rFonts w:ascii="Calibri" w:hAnsi="Calibri" w:eastAsia="PingFang SC"/>
          <w:sz w:val="18"/>
        </w:rPr>
        <w:t xml:space="preserve">[8] Chen et al. </w:t>
      </w:r>
      <w:r>
        <w:rPr>
          <w:rFonts w:ascii="Calibri" w:hAnsi="Calibri" w:eastAsia="PingFang SC"/>
          <w:i/>
          <w:sz w:val="18"/>
        </w:rPr>
        <w:t>BrowseComp-Plus: A More Fair and Transparent Evaluation Benchmark of Deep-Research Agent</w:t>
      </w:r>
      <w:r>
        <w:rPr>
          <w:rFonts w:ascii="Calibri" w:hAnsi="Calibri" w:eastAsia="PingFang SC"/>
          <w:sz w:val="18"/>
        </w:rPr>
        <w:t xml:space="preserve">. arXiv:2508.06600. </w:t>
      </w:r>
      <w:hyperlink r:id="rId41">
        <w:r>
          <w:rPr>
            <w:rFonts w:ascii="Calibri" w:hAnsi="Calibri" w:eastAsia="PingFang SC"/>
            <w:color w:val="2E74B5"/>
            <w:u w:val="single"/>
            <w:sz w:val="18"/>
            <w:szCs w:val="18"/>
          </w:rPr>
          <w:t>https://arxiv.org/abs/2508.06600</w:t>
        </w:r>
      </w:hyperlink>
    </w:p>
    <w:p>
      <w:pPr>
        <w:spacing w:after="40" w:line="252" w:lineRule="auto"/>
        <w:ind w:left="360" w:hanging="360"/>
      </w:pPr>
      <w:r>
        <w:rPr>
          <w:rFonts w:ascii="Calibri" w:hAnsi="Calibri" w:eastAsia="PingFang SC"/>
          <w:sz w:val="18"/>
        </w:rPr>
        <w:t xml:space="preserve">[9] Starace et al. </w:t>
      </w:r>
      <w:r>
        <w:rPr>
          <w:rFonts w:ascii="Calibri" w:hAnsi="Calibri" w:eastAsia="PingFang SC"/>
          <w:i/>
          <w:sz w:val="18"/>
        </w:rPr>
        <w:t>PaperBench: Evaluating AI’s Ability to Replicate AI Research</w:t>
      </w:r>
      <w:r>
        <w:rPr>
          <w:rFonts w:ascii="Calibri" w:hAnsi="Calibri" w:eastAsia="PingFang SC"/>
          <w:sz w:val="18"/>
        </w:rPr>
        <w:t xml:space="preserve">. OpenAI, 2025. </w:t>
      </w:r>
      <w:hyperlink r:id="rId42">
        <w:r>
          <w:rPr>
            <w:rFonts w:ascii="Calibri" w:hAnsi="Calibri" w:eastAsia="PingFang SC"/>
            <w:color w:val="2E74B5"/>
            <w:u w:val="single"/>
            <w:sz w:val="18"/>
            <w:szCs w:val="18"/>
          </w:rPr>
          <w:t>https://openai.com/index/paperbench/</w:t>
        </w:r>
      </w:hyperlink>
    </w:p>
    <w:p>
      <w:pPr>
        <w:spacing w:after="40" w:line="252" w:lineRule="auto"/>
        <w:ind w:left="360" w:hanging="360"/>
      </w:pPr>
      <w:r>
        <w:rPr>
          <w:rFonts w:ascii="Calibri" w:hAnsi="Calibri" w:eastAsia="PingFang SC"/>
          <w:sz w:val="18"/>
        </w:rPr>
        <w:t xml:space="preserve">[10] Wang et al. </w:t>
      </w:r>
      <w:r>
        <w:rPr>
          <w:rFonts w:ascii="Calibri" w:hAnsi="Calibri" w:eastAsia="PingFang SC"/>
          <w:i/>
          <w:sz w:val="18"/>
        </w:rPr>
        <w:t>LiveResearchBench: A Live Benchmark for User-Centric Deep Research in the Wild</w:t>
      </w:r>
      <w:r>
        <w:rPr>
          <w:rFonts w:ascii="Calibri" w:hAnsi="Calibri" w:eastAsia="PingFang SC"/>
          <w:sz w:val="18"/>
        </w:rPr>
        <w:t xml:space="preserve">. </w:t>
      </w:r>
      <w:hyperlink r:id="rId43">
        <w:r>
          <w:rPr>
            <w:rFonts w:ascii="Calibri" w:hAnsi="Calibri" w:eastAsia="PingFang SC"/>
            <w:color w:val="2E74B5"/>
            <w:u w:val="single"/>
            <w:sz w:val="18"/>
            <w:szCs w:val="18"/>
          </w:rPr>
          <w:t>https://livedeepresearch.github.io/</w:t>
        </w:r>
      </w:hyperlink>
    </w:p>
    <w:p>
      <w:pPr>
        <w:spacing w:after="40" w:line="252" w:lineRule="auto"/>
        <w:ind w:left="360" w:hanging="360"/>
      </w:pPr>
      <w:r>
        <w:rPr>
          <w:rFonts w:ascii="Calibri" w:hAnsi="Calibri" w:eastAsia="PingFang SC"/>
          <w:sz w:val="18"/>
        </w:rPr>
        <w:t xml:space="preserve">[11] Coelho et al. </w:t>
      </w:r>
      <w:r>
        <w:rPr>
          <w:rFonts w:ascii="Calibri" w:hAnsi="Calibri" w:eastAsia="PingFang SC"/>
          <w:i/>
          <w:sz w:val="18"/>
        </w:rPr>
        <w:t>DeepResearchGym: A Free, Transparent, and Reproducible Evaluation Sandbox for Deep Research</w:t>
      </w:r>
      <w:r>
        <w:rPr>
          <w:rFonts w:ascii="Calibri" w:hAnsi="Calibri" w:eastAsia="PingFang SC"/>
          <w:sz w:val="18"/>
        </w:rPr>
        <w:t xml:space="preserve">. arXiv:2505.19253. </w:t>
      </w:r>
      <w:hyperlink r:id="rId44">
        <w:r>
          <w:rPr>
            <w:rFonts w:ascii="Calibri" w:hAnsi="Calibri" w:eastAsia="PingFang SC"/>
            <w:color w:val="2E74B5"/>
            <w:u w:val="single"/>
            <w:sz w:val="18"/>
            <w:szCs w:val="18"/>
          </w:rPr>
          <w:t>https://arxiv.org/abs/2505.19253</w:t>
        </w:r>
      </w:hyperlink>
    </w:p>
    <w:p>
      <w:pPr>
        <w:spacing w:after="40" w:line="252" w:lineRule="auto"/>
        <w:ind w:left="360" w:hanging="360"/>
      </w:pPr>
      <w:r>
        <w:rPr>
          <w:rFonts w:ascii="Calibri" w:hAnsi="Calibri" w:eastAsia="PingFang SC"/>
          <w:sz w:val="18"/>
        </w:rPr>
        <w:t xml:space="preserve">[12] Abaskohi et al. </w:t>
      </w:r>
      <w:r>
        <w:rPr>
          <w:rFonts w:ascii="Calibri" w:hAnsi="Calibri" w:eastAsia="PingFang SC"/>
          <w:i/>
          <w:sz w:val="18"/>
        </w:rPr>
        <w:t>DRBench: A Realistic Benchmark for Enterprise Deep Research</w:t>
      </w:r>
      <w:r>
        <w:rPr>
          <w:rFonts w:ascii="Calibri" w:hAnsi="Calibri" w:eastAsia="PingFang SC"/>
          <w:sz w:val="18"/>
        </w:rPr>
        <w:t xml:space="preserve">. arXiv:2510.00172; ICLR 2026. </w:t>
      </w:r>
      <w:hyperlink r:id="rId45">
        <w:r>
          <w:rPr>
            <w:rFonts w:ascii="Calibri" w:hAnsi="Calibri" w:eastAsia="PingFang SC"/>
            <w:color w:val="2E74B5"/>
            <w:u w:val="single"/>
            <w:sz w:val="18"/>
            <w:szCs w:val="18"/>
          </w:rPr>
          <w:t>https://arxiv.org/abs/2510.00172</w:t>
        </w:r>
      </w:hyperlink>
    </w:p>
    <w:p>
      <w:pPr>
        <w:spacing w:after="40" w:line="252" w:lineRule="auto"/>
        <w:ind w:left="360" w:hanging="360"/>
      </w:pPr>
      <w:r>
        <w:rPr>
          <w:rFonts w:ascii="Calibri" w:hAnsi="Calibri" w:eastAsia="PingFang SC"/>
          <w:sz w:val="18"/>
        </w:rPr>
        <w:t xml:space="preserve">[13] White et al. </w:t>
      </w:r>
      <w:r>
        <w:rPr>
          <w:rFonts w:ascii="Calibri" w:hAnsi="Calibri" w:eastAsia="PingFang SC"/>
          <w:i/>
          <w:sz w:val="18"/>
        </w:rPr>
        <w:t>LiveBench: A Challenging, Contamination-Free LLM Benchmark</w:t>
      </w:r>
      <w:r>
        <w:rPr>
          <w:rFonts w:ascii="Calibri" w:hAnsi="Calibri" w:eastAsia="PingFang SC"/>
          <w:sz w:val="18"/>
        </w:rPr>
        <w:t xml:space="preserve">. ICLR 2025. </w:t>
      </w:r>
      <w:hyperlink r:id="rId46">
        <w:r>
          <w:rPr>
            <w:rFonts w:ascii="Calibri" w:hAnsi="Calibri" w:eastAsia="PingFang SC"/>
            <w:color w:val="2E74B5"/>
            <w:u w:val="single"/>
            <w:sz w:val="18"/>
            <w:szCs w:val="18"/>
          </w:rPr>
          <w:t>https://livebench.ai/</w:t>
        </w:r>
      </w:hyperlink>
    </w:p>
    <w:p>
      <w:pPr>
        <w:spacing w:after="40" w:line="252" w:lineRule="auto"/>
        <w:ind w:left="360" w:hanging="360"/>
      </w:pPr>
      <w:r>
        <w:rPr>
          <w:rFonts w:ascii="Calibri" w:hAnsi="Calibri" w:eastAsia="PingFang SC"/>
          <w:sz w:val="18"/>
        </w:rPr>
        <w:t xml:space="preserve">[14] Zhu et al. </w:t>
      </w:r>
      <w:r>
        <w:rPr>
          <w:rFonts w:ascii="Calibri" w:hAnsi="Calibri" w:eastAsia="PingFang SC"/>
          <w:i/>
          <w:sz w:val="18"/>
        </w:rPr>
        <w:t>JudgeLM: Fine-tuned Large Language Models are Scalable Judges</w:t>
      </w:r>
      <w:r>
        <w:rPr>
          <w:rFonts w:ascii="Calibri" w:hAnsi="Calibri" w:eastAsia="PingFang SC"/>
          <w:sz w:val="18"/>
        </w:rPr>
        <w:t xml:space="preserve">. arXiv:2310.17631, 2023. </w:t>
      </w:r>
      <w:hyperlink r:id="rId47">
        <w:r>
          <w:rPr>
            <w:rFonts w:ascii="Calibri" w:hAnsi="Calibri" w:eastAsia="PingFang SC"/>
            <w:color w:val="2E74B5"/>
            <w:u w:val="single"/>
            <w:sz w:val="18"/>
            <w:szCs w:val="18"/>
          </w:rPr>
          <w:t>https://arxiv.org/abs/2310.17631</w:t>
        </w:r>
      </w:hyperlink>
    </w:p>
    <w:p>
      <w:pPr>
        <w:spacing w:after="40" w:line="252" w:lineRule="auto"/>
        <w:ind w:left="360" w:hanging="360"/>
      </w:pPr>
      <w:r>
        <w:rPr>
          <w:rFonts w:ascii="Calibri" w:hAnsi="Calibri" w:eastAsia="PingFang SC"/>
          <w:sz w:val="18"/>
        </w:rPr>
        <w:t xml:space="preserve">[15] Kim et al. </w:t>
      </w:r>
      <w:r>
        <w:rPr>
          <w:rFonts w:ascii="Calibri" w:hAnsi="Calibri" w:eastAsia="PingFang SC"/>
          <w:i/>
          <w:sz w:val="18"/>
        </w:rPr>
        <w:t>Prometheus 2: An Open Source Language Model Specialized in Evaluating Other Language Models</w:t>
      </w:r>
      <w:r>
        <w:rPr>
          <w:rFonts w:ascii="Calibri" w:hAnsi="Calibri" w:eastAsia="PingFang SC"/>
          <w:sz w:val="18"/>
        </w:rPr>
        <w:t xml:space="preserve">. arXiv:2405.01535, 2024. </w:t>
      </w:r>
      <w:hyperlink r:id="rId48">
        <w:r>
          <w:rPr>
            <w:rFonts w:ascii="Calibri" w:hAnsi="Calibri" w:eastAsia="PingFang SC"/>
            <w:color w:val="2E74B5"/>
            <w:u w:val="single"/>
            <w:sz w:val="18"/>
            <w:szCs w:val="18"/>
          </w:rPr>
          <w:t>https://arxiv.org/abs/2405.01535</w:t>
        </w:r>
      </w:hyperlink>
    </w:p>
    <w:p>
      <w:pPr>
        <w:spacing w:after="40" w:line="252" w:lineRule="auto"/>
        <w:ind w:left="360" w:hanging="360"/>
      </w:pPr>
      <w:r>
        <w:rPr>
          <w:rFonts w:ascii="Calibri" w:hAnsi="Calibri" w:eastAsia="PingFang SC"/>
          <w:sz w:val="18"/>
        </w:rPr>
        <w:t xml:space="preserve">[16] Huang et al. </w:t>
      </w:r>
      <w:r>
        <w:rPr>
          <w:rFonts w:ascii="Calibri" w:hAnsi="Calibri" w:eastAsia="PingFang SC"/>
          <w:i/>
          <w:sz w:val="18"/>
        </w:rPr>
        <w:t>An Empirical Study of LLM-as-a-Judge for LLM Evaluation: Fine-tuned Judge Model is not a General Substitute for GPT-4</w:t>
      </w:r>
      <w:r>
        <w:rPr>
          <w:rFonts w:ascii="Calibri" w:hAnsi="Calibri" w:eastAsia="PingFang SC"/>
          <w:sz w:val="18"/>
        </w:rPr>
        <w:t xml:space="preserve">. arXiv:2403.02839, 2024. </w:t>
      </w:r>
      <w:hyperlink r:id="rId49">
        <w:r>
          <w:rPr>
            <w:rFonts w:ascii="Calibri" w:hAnsi="Calibri" w:eastAsia="PingFang SC"/>
            <w:color w:val="2E74B5"/>
            <w:u w:val="single"/>
            <w:sz w:val="18"/>
            <w:szCs w:val="18"/>
          </w:rPr>
          <w:t>https://arxiv.org/abs/2403.02839</w:t>
        </w:r>
      </w:hyperlink>
    </w:p>
    <w:p>
      <w:pPr>
        <w:spacing w:after="40" w:line="252" w:lineRule="auto"/>
        <w:ind w:left="360" w:hanging="360"/>
      </w:pPr>
      <w:r>
        <w:rPr>
          <w:rFonts w:ascii="Calibri" w:hAnsi="Calibri" w:eastAsia="PingFang SC"/>
          <w:sz w:val="18"/>
        </w:rPr>
        <w:t xml:space="preserve">[17] Java et al. </w:t>
      </w:r>
      <w:r>
        <w:rPr>
          <w:rFonts w:ascii="Calibri" w:hAnsi="Calibri" w:eastAsia="PingFang SC"/>
          <w:i/>
          <w:sz w:val="18"/>
        </w:rPr>
        <w:t>Characterizing Deep Research: A Benchmark and Formal Definition</w:t>
      </w:r>
      <w:r>
        <w:rPr>
          <w:rFonts w:ascii="Calibri" w:hAnsi="Calibri" w:eastAsia="PingFang SC"/>
          <w:sz w:val="18"/>
        </w:rPr>
        <w:t xml:space="preserve">. arXiv:2508.04183; ICLR 2026. </w:t>
      </w:r>
      <w:hyperlink r:id="rId50">
        <w:r>
          <w:rPr>
            <w:rFonts w:ascii="Calibri" w:hAnsi="Calibri" w:eastAsia="PingFang SC"/>
            <w:color w:val="2E74B5"/>
            <w:u w:val="single"/>
            <w:sz w:val="18"/>
            <w:szCs w:val="18"/>
          </w:rPr>
          <w:t>https://arxiv.org/abs/2508.04183</w:t>
        </w:r>
      </w:hyperlink>
    </w:p>
    <w:p>
      <w:pPr>
        <w:spacing w:after="40" w:line="252" w:lineRule="auto"/>
        <w:ind w:left="360" w:hanging="360"/>
      </w:pPr>
      <w:r>
        <w:rPr>
          <w:rFonts w:ascii="Calibri" w:hAnsi="Calibri" w:eastAsia="PingFang SC"/>
          <w:sz w:val="18"/>
        </w:rPr>
        <w:t xml:space="preserve">[18] Sharma et al. </w:t>
      </w:r>
      <w:r>
        <w:rPr>
          <w:rFonts w:ascii="Calibri" w:hAnsi="Calibri" w:eastAsia="PingFang SC"/>
          <w:i/>
          <w:sz w:val="18"/>
        </w:rPr>
        <w:t>ResearchRubrics: A Benchmark of Prompts and Rubrics for Evaluating Deep Research Agents</w:t>
      </w:r>
      <w:r>
        <w:rPr>
          <w:rFonts w:ascii="Calibri" w:hAnsi="Calibri" w:eastAsia="PingFang SC"/>
          <w:sz w:val="18"/>
        </w:rPr>
        <w:t xml:space="preserve">. arXiv:2511.07685; ICLR 2026. </w:t>
      </w:r>
      <w:hyperlink r:id="rId51">
        <w:r>
          <w:rPr>
            <w:rFonts w:ascii="Calibri" w:hAnsi="Calibri" w:eastAsia="PingFang SC"/>
            <w:color w:val="2E74B5"/>
            <w:u w:val="single"/>
            <w:sz w:val="18"/>
            <w:szCs w:val="18"/>
          </w:rPr>
          <w:t>https://arxiv.org/abs/2511.07685</w:t>
        </w:r>
      </w:hyperlink>
    </w:p>
    <w:p>
      <w:pPr>
        <w:spacing w:after="40" w:line="252" w:lineRule="auto"/>
        <w:ind w:left="360" w:hanging="360"/>
      </w:pPr>
      <w:r>
        <w:rPr>
          <w:rFonts w:ascii="Calibri" w:hAnsi="Calibri" w:eastAsia="PingFang SC"/>
          <w:sz w:val="18"/>
        </w:rPr>
        <w:t xml:space="preserve">[19] Yoran et al. </w:t>
      </w:r>
      <w:r>
        <w:rPr>
          <w:rFonts w:ascii="Calibri" w:hAnsi="Calibri" w:eastAsia="PingFang SC"/>
          <w:i/>
          <w:sz w:val="18"/>
        </w:rPr>
        <w:t>AssistantBench: Can Web Agents Solve Realistic and Time-Consuming Tasks?</w:t>
      </w:r>
      <w:r>
        <w:rPr>
          <w:rFonts w:ascii="Calibri" w:hAnsi="Calibri" w:eastAsia="PingFang SC"/>
          <w:sz w:val="18"/>
        </w:rPr>
        <w:t xml:space="preserve"> arXiv:2407.15711, 2024. </w:t>
      </w:r>
      <w:hyperlink r:id="rId52">
        <w:r>
          <w:rPr>
            <w:rFonts w:ascii="Calibri" w:hAnsi="Calibri" w:eastAsia="PingFang SC"/>
            <w:color w:val="2E74B5"/>
            <w:u w:val="single"/>
            <w:sz w:val="18"/>
            <w:szCs w:val="18"/>
          </w:rPr>
          <w:t>https://arxiv.org/abs/2407.15711</w:t>
        </w:r>
      </w:hyperlink>
    </w:p>
    <w:p>
      <w:pPr>
        <w:spacing w:after="40" w:line="252" w:lineRule="auto"/>
        <w:ind w:left="360" w:hanging="360"/>
      </w:pPr>
      <w:r>
        <w:rPr>
          <w:rFonts w:ascii="Calibri" w:hAnsi="Calibri" w:eastAsia="PingFang SC"/>
          <w:sz w:val="18"/>
        </w:rPr>
        <w:t xml:space="preserve">[20] Rosset et al. </w:t>
      </w:r>
      <w:r>
        <w:rPr>
          <w:rFonts w:ascii="Calibri" w:hAnsi="Calibri" w:eastAsia="PingFang SC"/>
          <w:i/>
          <w:sz w:val="18"/>
        </w:rPr>
        <w:t>Researchy Questions: A Dataset of Multi-Perspective, Decompositional Questions for LLM Web Agents</w:t>
      </w:r>
      <w:r>
        <w:rPr>
          <w:rFonts w:ascii="Calibri" w:hAnsi="Calibri" w:eastAsia="PingFang SC"/>
          <w:sz w:val="18"/>
        </w:rPr>
        <w:t xml:space="preserve">. arXiv:2402.17896, 2024. </w:t>
      </w:r>
      <w:hyperlink r:id="rId53">
        <w:r>
          <w:rPr>
            <w:rFonts w:ascii="Calibri" w:hAnsi="Calibri" w:eastAsia="PingFang SC"/>
            <w:color w:val="2E74B5"/>
            <w:u w:val="single"/>
            <w:sz w:val="18"/>
            <w:szCs w:val="18"/>
          </w:rPr>
          <w:t>https://arxiv.org/abs/2402.17896</w:t>
        </w:r>
      </w:hyperlink>
    </w:p>
    <w:p>
      <w:pPr>
        <w:spacing w:after="40" w:line="252" w:lineRule="auto"/>
        <w:ind w:left="360" w:hanging="360"/>
      </w:pPr>
      <w:r>
        <w:rPr>
          <w:rFonts w:ascii="Calibri" w:hAnsi="Calibri" w:eastAsia="PingFang SC"/>
          <w:sz w:val="18"/>
        </w:rPr>
        <w:t xml:space="preserve">[21] Xu et al. </w:t>
      </w:r>
      <w:r>
        <w:rPr>
          <w:rFonts w:ascii="Calibri" w:hAnsi="Calibri" w:eastAsia="PingFang SC"/>
          <w:i/>
          <w:sz w:val="18"/>
        </w:rPr>
        <w:t>ResearcherBench: Evaluating Deep AI Research Systems on the Frontiers of Scientific Inquiry</w:t>
      </w:r>
      <w:r>
        <w:rPr>
          <w:rFonts w:ascii="Calibri" w:hAnsi="Calibri" w:eastAsia="PingFang SC"/>
          <w:sz w:val="18"/>
        </w:rPr>
        <w:t xml:space="preserve">. arXiv:2507.16280, 2025. </w:t>
      </w:r>
      <w:hyperlink r:id="rId54">
        <w:r>
          <w:rPr>
            <w:rFonts w:ascii="Calibri" w:hAnsi="Calibri" w:eastAsia="PingFang SC"/>
            <w:color w:val="2E74B5"/>
            <w:u w:val="single"/>
            <w:sz w:val="18"/>
            <w:szCs w:val="18"/>
          </w:rPr>
          <w:t>https://arxiv.org/abs/2507.16280</w:t>
        </w:r>
      </w:hyperlink>
    </w:p>
    <w:p>
      <w:pPr>
        <w:spacing w:after="40" w:line="252" w:lineRule="auto"/>
        <w:ind w:left="360" w:hanging="360"/>
      </w:pPr>
      <w:r>
        <w:rPr>
          <w:rFonts w:ascii="Calibri" w:hAnsi="Calibri" w:eastAsia="PingFang SC"/>
          <w:sz w:val="18"/>
        </w:rPr>
        <w:t xml:space="preserve">[22] Liang et al. </w:t>
      </w:r>
      <w:r>
        <w:rPr>
          <w:rFonts w:ascii="Calibri" w:hAnsi="Calibri" w:eastAsia="PingFang SC"/>
          <w:i/>
          <w:sz w:val="18"/>
        </w:rPr>
        <w:t>Holistic Evaluation of Language Models</w:t>
      </w:r>
      <w:r>
        <w:rPr>
          <w:rFonts w:ascii="Calibri" w:hAnsi="Calibri" w:eastAsia="PingFang SC"/>
          <w:sz w:val="18"/>
        </w:rPr>
        <w:t xml:space="preserve">. TMLR, 2023. </w:t>
      </w:r>
      <w:hyperlink r:id="rId67">
        <w:r>
          <w:rPr>
            <w:rFonts w:ascii="Calibri" w:hAnsi="Calibri" w:eastAsia="PingFang SC"/>
            <w:color w:val="2E74B5"/>
            <w:u w:val="single"/>
            <w:sz w:val="18"/>
            <w:szCs w:val="18"/>
          </w:rPr>
          <w:t>https://arxiv.org/abs/2211.09110</w:t>
        </w:r>
      </w:hyperlink>
    </w:p>
    <w:p>
      <w:pPr>
        <w:spacing w:after="40" w:line="252" w:lineRule="auto"/>
        <w:ind w:left="360" w:hanging="360"/>
      </w:pPr>
      <w:r>
        <w:rPr>
          <w:rFonts w:ascii="Calibri" w:hAnsi="Calibri" w:eastAsia="PingFang SC"/>
          <w:sz w:val="18"/>
        </w:rPr>
        <w:t xml:space="preserve">[23] Ribeiro et al. </w:t>
      </w:r>
      <w:r>
        <w:rPr>
          <w:rFonts w:ascii="Calibri" w:hAnsi="Calibri" w:eastAsia="PingFang SC"/>
          <w:i/>
          <w:sz w:val="18"/>
        </w:rPr>
        <w:t>Beyond Accuracy: Behavioral Testing of NLP Models with CheckList</w:t>
      </w:r>
      <w:r>
        <w:rPr>
          <w:rFonts w:ascii="Calibri" w:hAnsi="Calibri" w:eastAsia="PingFang SC"/>
          <w:sz w:val="18"/>
        </w:rPr>
        <w:t xml:space="preserve">. ACL, 2020. </w:t>
      </w:r>
      <w:hyperlink r:id="rId66">
        <w:r>
          <w:rPr>
            <w:rFonts w:ascii="Calibri" w:hAnsi="Calibri" w:eastAsia="PingFang SC"/>
            <w:color w:val="2E74B5"/>
            <w:u w:val="single"/>
            <w:sz w:val="18"/>
            <w:szCs w:val="18"/>
          </w:rPr>
          <w:t>https://aclanthology.org/2020.acl-main.442/</w:t>
        </w:r>
      </w:hyperlink>
    </w:p>
    <w:p>
      <w:pPr>
        <w:spacing w:after="40" w:line="252" w:lineRule="auto"/>
        <w:ind w:left="360" w:hanging="360"/>
      </w:pPr>
      <w:r>
        <w:rPr>
          <w:rFonts w:ascii="Calibri" w:hAnsi="Calibri" w:eastAsia="PingFang SC"/>
          <w:sz w:val="18"/>
        </w:rPr>
        <w:t xml:space="preserve">[24] Reuel et al. </w:t>
      </w:r>
      <w:r>
        <w:rPr>
          <w:rFonts w:ascii="Calibri" w:hAnsi="Calibri" w:eastAsia="PingFang SC"/>
          <w:i/>
          <w:sz w:val="18"/>
        </w:rPr>
        <w:t>BetterBench: Assessing AI Benchmarks, Uncovering Issues, and Establishing Best Practices</w:t>
      </w:r>
      <w:r>
        <w:rPr>
          <w:rFonts w:ascii="Calibri" w:hAnsi="Calibri" w:eastAsia="PingFang SC"/>
          <w:sz w:val="18"/>
        </w:rPr>
        <w:t xml:space="preserve">. arXiv:2411.12990, 2024. </w:t>
      </w:r>
      <w:hyperlink r:id="rId68">
        <w:r>
          <w:rPr>
            <w:rFonts w:ascii="Calibri" w:hAnsi="Calibri" w:eastAsia="PingFang SC"/>
            <w:color w:val="2E74B5"/>
            <w:u w:val="single"/>
            <w:sz w:val="18"/>
            <w:szCs w:val="18"/>
          </w:rPr>
          <w:t>https://arxiv.org/abs/2411.12990</w:t>
        </w:r>
      </w:hyperlink>
    </w:p>
    <w:p>
      <w:pPr>
        <w:spacing w:after="40" w:line="252" w:lineRule="auto"/>
        <w:ind w:left="360" w:hanging="360"/>
      </w:pPr>
      <w:r>
        <w:rPr>
          <w:rFonts w:ascii="Calibri" w:hAnsi="Calibri" w:eastAsia="PingFang SC"/>
          <w:sz w:val="18"/>
        </w:rPr>
        <w:t xml:space="preserve">[25] Sokol et al. </w:t>
      </w:r>
      <w:r>
        <w:rPr>
          <w:rFonts w:ascii="Calibri" w:hAnsi="Calibri" w:eastAsia="PingFang SC"/>
          <w:i/>
          <w:sz w:val="18"/>
        </w:rPr>
        <w:t>BenchmarkCards: Standardized Documentation for Large Language Model Benchmarks</w:t>
      </w:r>
      <w:r>
        <w:rPr>
          <w:rFonts w:ascii="Calibri" w:hAnsi="Calibri" w:eastAsia="PingFang SC"/>
          <w:sz w:val="18"/>
        </w:rPr>
        <w:t xml:space="preserve">. NeurIPS Datasets and Benchmarks, 2025. </w:t>
      </w:r>
      <w:hyperlink r:id="rId69">
        <w:r>
          <w:rPr>
            <w:rFonts w:ascii="Calibri" w:hAnsi="Calibri" w:eastAsia="PingFang SC"/>
            <w:color w:val="2E74B5"/>
            <w:u w:val="single"/>
            <w:sz w:val="18"/>
            <w:szCs w:val="18"/>
          </w:rPr>
          <w:t>https://papers.neurips.cc/paper_files/paper/2025/hash/76175f4355e2f67cf91be468c8860070-Abstract-Datasets_and_Benchmarks_Track.html</w:t>
        </w:r>
      </w:hyperlink>
    </w:p>
    <w:p>
      <w:pPr>
        <w:spacing w:after="40" w:line="252" w:lineRule="auto"/>
        <w:ind w:left="360" w:hanging="360"/>
      </w:pPr>
      <w:r>
        <w:rPr>
          <w:rFonts w:ascii="Calibri" w:hAnsi="Calibri" w:eastAsia="PingFang SC"/>
          <w:sz w:val="18"/>
        </w:rPr>
        <w:t xml:space="preserve">[26] Zeng et al. </w:t>
      </w:r>
      <w:r>
        <w:rPr>
          <w:rFonts w:ascii="Calibri" w:hAnsi="Calibri" w:eastAsia="PingFang SC"/>
          <w:i/>
          <w:sz w:val="18"/>
        </w:rPr>
        <w:t>Setoka: A Benchmark for Hierarchical User Understanding in Personalized Agents over Heterogeneous Data</w:t>
      </w:r>
      <w:r>
        <w:rPr>
          <w:rFonts w:ascii="Calibri" w:hAnsi="Calibri" w:eastAsia="PingFang SC"/>
          <w:sz w:val="18"/>
        </w:rPr>
        <w:t xml:space="preserve">. arXiv:2607.27056, 2026. </w:t>
      </w:r>
      <w:hyperlink r:id="rId55">
        <w:r>
          <w:rPr>
            <w:rFonts w:ascii="Calibri" w:hAnsi="Calibri" w:eastAsia="PingFang SC"/>
            <w:color w:val="2E74B5"/>
            <w:u w:val="single"/>
            <w:sz w:val="18"/>
            <w:szCs w:val="18"/>
          </w:rPr>
          <w:t>https://arxiv.org/abs/2607.27056</w:t>
        </w:r>
      </w:hyperlink>
    </w:p>
    <w:p>
      <w:pPr>
        <w:spacing w:after="40" w:line="252" w:lineRule="auto"/>
        <w:ind w:left="360" w:hanging="360"/>
      </w:pPr>
      <w:r>
        <w:rPr>
          <w:rFonts w:ascii="Calibri" w:hAnsi="Calibri" w:eastAsia="PingFang SC"/>
          <w:sz w:val="18"/>
        </w:rPr>
        <w:t xml:space="preserve">[27] Qian et al. </w:t>
      </w:r>
      <w:r>
        <w:rPr>
          <w:rFonts w:ascii="Calibri" w:hAnsi="Calibri" w:eastAsia="PingFang SC"/>
          <w:i/>
          <w:sz w:val="18"/>
        </w:rPr>
        <w:t>Toward User-Conditioned Evaluation of Personal LLM Agents under Temporal Interventions</w:t>
      </w:r>
      <w:r>
        <w:rPr>
          <w:rFonts w:ascii="Calibri" w:hAnsi="Calibri" w:eastAsia="PingFang SC"/>
          <w:sz w:val="18"/>
        </w:rPr>
        <w:t xml:space="preserve">. arXiv:2607.21635, 2026. </w:t>
      </w:r>
      <w:hyperlink r:id="rId56">
        <w:r>
          <w:rPr>
            <w:rFonts w:ascii="Calibri" w:hAnsi="Calibri" w:eastAsia="PingFang SC"/>
            <w:color w:val="2E74B5"/>
            <w:u w:val="single"/>
            <w:sz w:val="18"/>
            <w:szCs w:val="18"/>
          </w:rPr>
          <w:t>https://arxiv.org/abs/2607.21635</w:t>
        </w:r>
      </w:hyperlink>
    </w:p>
    <w:p>
      <w:pPr>
        <w:spacing w:after="40" w:line="252" w:lineRule="auto"/>
        <w:ind w:left="360" w:hanging="360"/>
      </w:pPr>
      <w:r>
        <w:rPr>
          <w:rFonts w:ascii="Calibri" w:hAnsi="Calibri" w:eastAsia="PingFang SC"/>
          <w:sz w:val="18"/>
        </w:rPr>
        <w:t xml:space="preserve">[28] Yang et al. </w:t>
      </w:r>
      <w:r>
        <w:rPr>
          <w:rFonts w:ascii="Calibri" w:hAnsi="Calibri" w:eastAsia="PingFang SC"/>
          <w:i/>
          <w:sz w:val="18"/>
        </w:rPr>
        <w:t>PersonaTrail: Benchmarking Personalized Web Agents through Browsing Trails</w:t>
      </w:r>
      <w:r>
        <w:rPr>
          <w:rFonts w:ascii="Calibri" w:hAnsi="Calibri" w:eastAsia="PingFang SC"/>
          <w:sz w:val="18"/>
        </w:rPr>
        <w:t xml:space="preserve">. arXiv:2607.20482, 2026. </w:t>
      </w:r>
      <w:hyperlink r:id="rId57">
        <w:r>
          <w:rPr>
            <w:rFonts w:ascii="Calibri" w:hAnsi="Calibri" w:eastAsia="PingFang SC"/>
            <w:color w:val="2E74B5"/>
            <w:u w:val="single"/>
            <w:sz w:val="18"/>
            <w:szCs w:val="18"/>
          </w:rPr>
          <w:t>https://arxiv.org/abs/2607.20482</w:t>
        </w:r>
      </w:hyperlink>
    </w:p>
    <w:p>
      <w:pPr>
        <w:spacing w:after="40" w:line="252" w:lineRule="auto"/>
        <w:ind w:left="360" w:hanging="360"/>
      </w:pPr>
      <w:r>
        <w:rPr>
          <w:rFonts w:ascii="Calibri" w:hAnsi="Calibri" w:eastAsia="PingFang SC"/>
          <w:sz w:val="18"/>
        </w:rPr>
        <w:t xml:space="preserve">[29] Todisco et al. </w:t>
      </w:r>
      <w:r>
        <w:rPr>
          <w:rFonts w:ascii="Calibri" w:hAnsi="Calibri" w:eastAsia="PingFang SC"/>
          <w:i/>
          <w:sz w:val="18"/>
        </w:rPr>
        <w:t>TARS: A Theory-of-Mind Agent for Personalized In-IDE Code Comprehension</w:t>
      </w:r>
      <w:r>
        <w:rPr>
          <w:rFonts w:ascii="Calibri" w:hAnsi="Calibri" w:eastAsia="PingFang SC"/>
          <w:sz w:val="18"/>
        </w:rPr>
        <w:t xml:space="preserve">. arXiv:2607.15948, 2026. </w:t>
      </w:r>
      <w:hyperlink r:id="rId58">
        <w:r>
          <w:rPr>
            <w:rFonts w:ascii="Calibri" w:hAnsi="Calibri" w:eastAsia="PingFang SC"/>
            <w:color w:val="2E74B5"/>
            <w:u w:val="single"/>
            <w:sz w:val="18"/>
            <w:szCs w:val="18"/>
          </w:rPr>
          <w:t>https://arxiv.org/abs/2607.15948</w:t>
        </w:r>
      </w:hyperlink>
    </w:p>
    <w:p>
      <w:pPr>
        <w:spacing w:after="40" w:line="252" w:lineRule="auto"/>
        <w:ind w:left="360" w:hanging="360"/>
      </w:pPr>
      <w:r>
        <w:rPr>
          <w:rFonts w:ascii="Calibri" w:hAnsi="Calibri" w:eastAsia="PingFang SC"/>
          <w:sz w:val="18"/>
        </w:rPr>
        <w:t xml:space="preserve">[30] Yang. </w:t>
      </w:r>
      <w:r>
        <w:rPr>
          <w:rFonts w:ascii="Calibri" w:hAnsi="Calibri" w:eastAsia="PingFang SC"/>
          <w:i/>
          <w:sz w:val="18"/>
        </w:rPr>
        <w:t>Self-Aware Recursively Self-Improving Agents for Personal Singularity</w:t>
      </w:r>
      <w:r>
        <w:rPr>
          <w:rFonts w:ascii="Calibri" w:hAnsi="Calibri" w:eastAsia="PingFang SC"/>
          <w:sz w:val="18"/>
        </w:rPr>
        <w:t xml:space="preserve">. arXiv:2607.12254, 2026. </w:t>
      </w:r>
      <w:hyperlink r:id="rId59">
        <w:r>
          <w:rPr>
            <w:rFonts w:ascii="Calibri" w:hAnsi="Calibri" w:eastAsia="PingFang SC"/>
            <w:color w:val="2E74B5"/>
            <w:u w:val="single"/>
            <w:sz w:val="18"/>
            <w:szCs w:val="18"/>
          </w:rPr>
          <w:t>https://arxiv.org/abs/2607.12254</w:t>
        </w:r>
      </w:hyperlink>
    </w:p>
    <w:p>
      <w:pPr>
        <w:spacing w:after="40" w:line="252" w:lineRule="auto"/>
        <w:ind w:left="360" w:hanging="360"/>
      </w:pPr>
      <w:r>
        <w:rPr>
          <w:rFonts w:ascii="Calibri" w:hAnsi="Calibri" w:eastAsia="PingFang SC"/>
          <w:sz w:val="18"/>
        </w:rPr>
        <w:t xml:space="preserve">[31] Mao et al. </w:t>
      </w:r>
      <w:r>
        <w:rPr>
          <w:rFonts w:ascii="Calibri" w:hAnsi="Calibri" w:eastAsia="PingFang SC"/>
          <w:i/>
          <w:sz w:val="18"/>
        </w:rPr>
        <w:t>Agents Don't Just Agree, They Remember: Benchmarking Persistent Sycophancy in Stateful Personal Agents</w:t>
      </w:r>
      <w:r>
        <w:rPr>
          <w:rFonts w:ascii="Calibri" w:hAnsi="Calibri" w:eastAsia="PingFang SC"/>
          <w:sz w:val="18"/>
        </w:rPr>
        <w:t xml:space="preserve">. arXiv:2607.10526, 2026. </w:t>
      </w:r>
      <w:hyperlink r:id="rId60">
        <w:r>
          <w:rPr>
            <w:rFonts w:ascii="Calibri" w:hAnsi="Calibri" w:eastAsia="PingFang SC"/>
            <w:color w:val="2E74B5"/>
            <w:u w:val="single"/>
            <w:sz w:val="18"/>
            <w:szCs w:val="18"/>
          </w:rPr>
          <w:t>https://arxiv.org/abs/2607.10526</w:t>
        </w:r>
      </w:hyperlink>
    </w:p>
    <w:p>
      <w:pPr>
        <w:spacing w:after="40" w:line="252" w:lineRule="auto"/>
        <w:ind w:left="360" w:hanging="360"/>
      </w:pPr>
      <w:r>
        <w:rPr>
          <w:rFonts w:ascii="Calibri" w:hAnsi="Calibri" w:eastAsia="PingFang SC"/>
          <w:sz w:val="18"/>
        </w:rPr>
        <w:t xml:space="preserve">[32] Yang et al. </w:t>
      </w:r>
      <w:r>
        <w:rPr>
          <w:rFonts w:ascii="Calibri" w:hAnsi="Calibri" w:eastAsia="PingFang SC"/>
          <w:i/>
          <w:sz w:val="18"/>
        </w:rPr>
        <w:t>APeB: Benchmarking Personalization Ability of Large Language Model Agents</w:t>
      </w:r>
      <w:r>
        <w:rPr>
          <w:rFonts w:ascii="Calibri" w:hAnsi="Calibri" w:eastAsia="PingFang SC"/>
          <w:sz w:val="18"/>
        </w:rPr>
        <w:t xml:space="preserve">. arXiv:2607.03162, 2026. </w:t>
      </w:r>
      <w:hyperlink r:id="rId61">
        <w:r>
          <w:rPr>
            <w:rFonts w:ascii="Calibri" w:hAnsi="Calibri" w:eastAsia="PingFang SC"/>
            <w:color w:val="2E74B5"/>
            <w:u w:val="single"/>
            <w:sz w:val="18"/>
            <w:szCs w:val="18"/>
          </w:rPr>
          <w:t>https://arxiv.org/abs/2607.03162</w:t>
        </w:r>
      </w:hyperlink>
    </w:p>
    <w:p>
      <w:pPr>
        <w:spacing w:after="40" w:line="252" w:lineRule="auto"/>
        <w:ind w:left="360" w:hanging="360"/>
      </w:pPr>
      <w:r>
        <w:rPr>
          <w:rFonts w:ascii="Calibri" w:hAnsi="Calibri" w:eastAsia="PingFang SC"/>
          <w:sz w:val="18"/>
        </w:rPr>
        <w:t xml:space="preserve">[33] Salemi et al. </w:t>
      </w:r>
      <w:r>
        <w:rPr>
          <w:rFonts w:ascii="Calibri" w:hAnsi="Calibri" w:eastAsia="PingFang SC"/>
          <w:i/>
          <w:sz w:val="18"/>
        </w:rPr>
        <w:t>LaMP: When Large Language Models Meet Personalization</w:t>
      </w:r>
      <w:r>
        <w:rPr>
          <w:rFonts w:ascii="Calibri" w:hAnsi="Calibri" w:eastAsia="PingFang SC"/>
          <w:sz w:val="18"/>
        </w:rPr>
        <w:t xml:space="preserve">. ACL, 2024. </w:t>
      </w:r>
      <w:hyperlink r:id="rId11">
        <w:r>
          <w:rPr>
            <w:rFonts w:ascii="Calibri" w:hAnsi="Calibri" w:eastAsia="PingFang SC"/>
            <w:color w:val="2E74B5"/>
            <w:u w:val="single"/>
            <w:sz w:val="18"/>
            <w:szCs w:val="18"/>
          </w:rPr>
          <w:t>https://aclanthology.org/2024.acl-long.399/</w:t>
        </w:r>
      </w:hyperlink>
    </w:p>
    <w:p>
      <w:pPr>
        <w:spacing w:after="40" w:line="252" w:lineRule="auto"/>
        <w:ind w:left="360" w:hanging="360"/>
      </w:pPr>
      <w:r>
        <w:rPr>
          <w:rFonts w:ascii="Calibri" w:hAnsi="Calibri" w:eastAsia="PingFang SC"/>
          <w:sz w:val="18"/>
        </w:rPr>
        <w:t xml:space="preserve">[34] Singh et al. </w:t>
      </w:r>
      <w:r>
        <w:rPr>
          <w:rFonts w:ascii="Calibri" w:hAnsi="Calibri" w:eastAsia="PingFang SC"/>
          <w:i/>
          <w:sz w:val="18"/>
        </w:rPr>
        <w:t>Personal Large Language Model Agents: A Case Study on Tailored Travel Planning</w:t>
      </w:r>
      <w:r>
        <w:rPr>
          <w:rFonts w:ascii="Calibri" w:hAnsi="Calibri" w:eastAsia="PingFang SC"/>
          <w:sz w:val="18"/>
        </w:rPr>
        <w:t xml:space="preserve">. EMNLP Industry Track, 2024. </w:t>
      </w:r>
      <w:hyperlink r:id="rId13">
        <w:r>
          <w:rPr>
            <w:rFonts w:ascii="Calibri" w:hAnsi="Calibri" w:eastAsia="PingFang SC"/>
            <w:color w:val="2E74B5"/>
            <w:u w:val="single"/>
            <w:sz w:val="18"/>
            <w:szCs w:val="18"/>
          </w:rPr>
          <w:t>https://aclanthology.org/2024.emnlp-industry.37/</w:t>
        </w:r>
      </w:hyperlink>
    </w:p>
    <w:p>
      <w:pPr>
        <w:spacing w:after="40" w:line="252" w:lineRule="auto"/>
        <w:ind w:left="360" w:hanging="360"/>
      </w:pPr>
      <w:r>
        <w:rPr>
          <w:rFonts w:ascii="Calibri" w:hAnsi="Calibri" w:eastAsia="PingFang SC"/>
          <w:sz w:val="18"/>
        </w:rPr>
        <w:t xml:space="preserve">[35] Zhao et al. </w:t>
      </w:r>
      <w:r>
        <w:rPr>
          <w:rFonts w:ascii="Calibri" w:hAnsi="Calibri" w:eastAsia="PingFang SC"/>
          <w:i/>
          <w:sz w:val="18"/>
        </w:rPr>
        <w:t>PersonaLens: A Benchmark for Personalization Evaluation in Conversational AI Assistants</w:t>
      </w:r>
      <w:r>
        <w:rPr>
          <w:rFonts w:ascii="Calibri" w:hAnsi="Calibri" w:eastAsia="PingFang SC"/>
          <w:sz w:val="18"/>
        </w:rPr>
        <w:t xml:space="preserve">. Findings of ACL, 2025. </w:t>
      </w:r>
      <w:hyperlink r:id="rId12">
        <w:r>
          <w:rPr>
            <w:rFonts w:ascii="Calibri" w:hAnsi="Calibri" w:eastAsia="PingFang SC"/>
            <w:color w:val="2E74B5"/>
            <w:u w:val="single"/>
            <w:sz w:val="18"/>
            <w:szCs w:val="18"/>
          </w:rPr>
          <w:t>https://aclanthology.org/2025.findings-acl.927/</w:t>
        </w:r>
      </w:hyperlink>
    </w:p>
    <w:p>
      <w:pPr>
        <w:spacing w:after="40" w:line="252" w:lineRule="auto"/>
        <w:ind w:left="360" w:hanging="360"/>
      </w:pPr>
      <w:r>
        <w:rPr>
          <w:rFonts w:ascii="Calibri" w:hAnsi="Calibri" w:eastAsia="PingFang SC"/>
          <w:sz w:val="18"/>
        </w:rPr>
        <w:t xml:space="preserve">[36] Jiang et al. </w:t>
      </w:r>
      <w:r>
        <w:rPr>
          <w:rFonts w:ascii="Calibri" w:hAnsi="Calibri" w:eastAsia="PingFang SC"/>
          <w:i/>
          <w:sz w:val="18"/>
        </w:rPr>
        <w:t>Know Me, Respond to Me: Benchmarking LLMs for Dynamic User Profiling and Personalized Responses at Scale</w:t>
      </w:r>
      <w:r>
        <w:rPr>
          <w:rFonts w:ascii="Calibri" w:hAnsi="Calibri" w:eastAsia="PingFang SC"/>
          <w:sz w:val="18"/>
        </w:rPr>
        <w:t xml:space="preserve">. arXiv:2504.14225, 2025. </w:t>
      </w:r>
      <w:hyperlink r:id="rId19">
        <w:r>
          <w:rPr>
            <w:rFonts w:ascii="Calibri" w:hAnsi="Calibri" w:eastAsia="PingFang SC"/>
            <w:color w:val="2E74B5"/>
            <w:u w:val="single"/>
            <w:sz w:val="18"/>
            <w:szCs w:val="18"/>
          </w:rPr>
          <w:t>https://arxiv.org/abs/2504.14225</w:t>
        </w:r>
      </w:hyperlink>
    </w:p>
    <w:p>
      <w:pPr>
        <w:spacing w:after="40" w:line="252" w:lineRule="auto"/>
        <w:ind w:left="360" w:hanging="360"/>
      </w:pPr>
      <w:r>
        <w:rPr>
          <w:rFonts w:ascii="Calibri" w:hAnsi="Calibri" w:eastAsia="PingFang SC"/>
          <w:sz w:val="18"/>
        </w:rPr>
        <w:t xml:space="preserve">[37] Hao et al. </w:t>
      </w:r>
      <w:r>
        <w:rPr>
          <w:rFonts w:ascii="Calibri" w:hAnsi="Calibri" w:eastAsia="PingFang SC"/>
          <w:i/>
          <w:sz w:val="18"/>
        </w:rPr>
        <w:t>Evaluating Personalized Tool-Augmented LLMs from the Perspectives of Personalization and Proactivity</w:t>
      </w:r>
      <w:r>
        <w:rPr>
          <w:rFonts w:ascii="Calibri" w:hAnsi="Calibri" w:eastAsia="PingFang SC"/>
          <w:sz w:val="18"/>
        </w:rPr>
        <w:t xml:space="preserve">. ACL, 2025. </w:t>
      </w:r>
      <w:hyperlink r:id="rId14">
        <w:r>
          <w:rPr>
            <w:rFonts w:ascii="Calibri" w:hAnsi="Calibri" w:eastAsia="PingFang SC"/>
            <w:color w:val="2E74B5"/>
            <w:u w:val="single"/>
            <w:sz w:val="18"/>
            <w:szCs w:val="18"/>
          </w:rPr>
          <w:t>https://aclanthology.org/2025.acl-long.1064/</w:t>
        </w:r>
      </w:hyperlink>
    </w:p>
    <w:p>
      <w:pPr>
        <w:spacing w:after="40" w:line="252" w:lineRule="auto"/>
        <w:ind w:left="360" w:hanging="360"/>
      </w:pPr>
      <w:r>
        <w:rPr>
          <w:rFonts w:ascii="Calibri" w:hAnsi="Calibri" w:eastAsia="PingFang SC"/>
          <w:sz w:val="18"/>
        </w:rPr>
        <w:t xml:space="preserve">[38] Cheng et al. </w:t>
      </w:r>
      <w:r>
        <w:rPr>
          <w:rFonts w:ascii="Calibri" w:hAnsi="Calibri" w:eastAsia="PingFang SC"/>
          <w:i/>
          <w:sz w:val="18"/>
        </w:rPr>
        <w:t>ToolSpectrum: Towards Personalized Tool Utilization for Large Language Models</w:t>
      </w:r>
      <w:r>
        <w:rPr>
          <w:rFonts w:ascii="Calibri" w:hAnsi="Calibri" w:eastAsia="PingFang SC"/>
          <w:sz w:val="18"/>
        </w:rPr>
        <w:t xml:space="preserve">. arXiv:2505.13176, 2025. </w:t>
      </w:r>
      <w:hyperlink r:id="rId15">
        <w:r>
          <w:rPr>
            <w:rFonts w:ascii="Calibri" w:hAnsi="Calibri" w:eastAsia="PingFang SC"/>
            <w:color w:val="2E74B5"/>
            <w:u w:val="single"/>
            <w:sz w:val="18"/>
            <w:szCs w:val="18"/>
          </w:rPr>
          <w:t>https://arxiv.org/abs/2505.13176</w:t>
        </w:r>
      </w:hyperlink>
    </w:p>
    <w:p>
      <w:pPr>
        <w:spacing w:after="40" w:line="252" w:lineRule="auto"/>
        <w:ind w:left="360" w:hanging="360"/>
      </w:pPr>
      <w:r>
        <w:rPr>
          <w:rFonts w:ascii="Calibri" w:hAnsi="Calibri" w:eastAsia="PingFang SC"/>
          <w:sz w:val="18"/>
        </w:rPr>
        <w:t xml:space="preserve">[39] Zhang et al. </w:t>
      </w:r>
      <w:r>
        <w:rPr>
          <w:rFonts w:ascii="Calibri" w:hAnsi="Calibri" w:eastAsia="PingFang SC"/>
          <w:i/>
          <w:sz w:val="18"/>
        </w:rPr>
        <w:t>PRIME: Large Language Model Personalization with Cognitive Dual-Memory and Personalized Thought Process</w:t>
      </w:r>
      <w:r>
        <w:rPr>
          <w:rFonts w:ascii="Calibri" w:hAnsi="Calibri" w:eastAsia="PingFang SC"/>
          <w:sz w:val="18"/>
        </w:rPr>
        <w:t xml:space="preserve">. EMNLP, 2025. </w:t>
      </w:r>
      <w:hyperlink r:id="rId63">
        <w:r>
          <w:rPr>
            <w:rFonts w:ascii="Calibri" w:hAnsi="Calibri" w:eastAsia="PingFang SC"/>
            <w:color w:val="2E74B5"/>
            <w:u w:val="single"/>
            <w:sz w:val="18"/>
            <w:szCs w:val="18"/>
          </w:rPr>
          <w:t>https://aclanthology.org/2025.emnlp-main.1711/</w:t>
        </w:r>
      </w:hyperlink>
    </w:p>
    <w:p>
      <w:pPr>
        <w:spacing w:after="40" w:line="252" w:lineRule="auto"/>
        <w:ind w:left="360" w:hanging="360"/>
      </w:pPr>
      <w:r>
        <w:rPr>
          <w:rFonts w:ascii="Calibri" w:hAnsi="Calibri" w:eastAsia="PingFang SC"/>
          <w:sz w:val="18"/>
        </w:rPr>
        <w:t xml:space="preserve">[40] Li et al. </w:t>
      </w:r>
      <w:r>
        <w:rPr>
          <w:rFonts w:ascii="Calibri" w:hAnsi="Calibri" w:eastAsia="PingFang SC"/>
          <w:i/>
          <w:sz w:val="18"/>
        </w:rPr>
        <w:t>Personalized Deep Research: A User-Centric Framework, Dataset, and Hybrid Evaluation for Knowledge Discovery</w:t>
      </w:r>
      <w:r>
        <w:rPr>
          <w:rFonts w:ascii="Calibri" w:hAnsi="Calibri" w:eastAsia="PingFang SC"/>
          <w:sz w:val="18"/>
        </w:rPr>
        <w:t xml:space="preserve">. arXiv:2605.10530, 2026. </w:t>
      </w:r>
      <w:hyperlink r:id="rId26">
        <w:r>
          <w:rPr>
            <w:rFonts w:ascii="Calibri" w:hAnsi="Calibri" w:eastAsia="PingFang SC"/>
            <w:color w:val="2E74B5"/>
            <w:u w:val="single"/>
            <w:sz w:val="18"/>
            <w:szCs w:val="18"/>
          </w:rPr>
          <w:t>https://arxiv.org/abs/2605.10530</w:t>
        </w:r>
      </w:hyperlink>
    </w:p>
    <w:p>
      <w:pPr>
        <w:spacing w:after="40" w:line="252" w:lineRule="auto"/>
        <w:ind w:left="360" w:hanging="360"/>
      </w:pPr>
      <w:r>
        <w:rPr>
          <w:rFonts w:ascii="Calibri" w:hAnsi="Calibri" w:eastAsia="PingFang SC"/>
          <w:sz w:val="18"/>
        </w:rPr>
        <w:t xml:space="preserve">[41] Balepur et al. </w:t>
      </w:r>
      <w:r>
        <w:rPr>
          <w:rFonts w:ascii="Calibri" w:hAnsi="Calibri" w:eastAsia="PingFang SC"/>
          <w:i/>
          <w:sz w:val="18"/>
        </w:rPr>
        <w:t>Language Models Don't Know What You Want: Evaluating Personalization in Deep Research Needs Real Users</w:t>
      </w:r>
      <w:r>
        <w:rPr>
          <w:rFonts w:ascii="Calibri" w:hAnsi="Calibri" w:eastAsia="PingFang SC"/>
          <w:sz w:val="18"/>
        </w:rPr>
        <w:t xml:space="preserve">. ACL, 2026. </w:t>
      </w:r>
      <w:hyperlink r:id="rId27">
        <w:r>
          <w:rPr>
            <w:rFonts w:ascii="Calibri" w:hAnsi="Calibri" w:eastAsia="PingFang SC"/>
            <w:color w:val="2E74B5"/>
            <w:u w:val="single"/>
            <w:sz w:val="18"/>
            <w:szCs w:val="18"/>
          </w:rPr>
          <w:t>https://aclanthology.org/2026.acl-long.723/</w:t>
        </w:r>
      </w:hyperlink>
    </w:p>
    <w:p>
      <w:pPr>
        <w:spacing w:after="40" w:line="252" w:lineRule="auto"/>
        <w:ind w:left="360" w:hanging="360"/>
      </w:pPr>
      <w:r>
        <w:rPr>
          <w:rFonts w:ascii="Calibri" w:hAnsi="Calibri" w:eastAsia="PingFang SC"/>
          <w:sz w:val="18"/>
        </w:rPr>
        <w:t xml:space="preserve">[42] Garbacea et al. </w:t>
      </w:r>
      <w:r>
        <w:rPr>
          <w:rFonts w:ascii="Calibri" w:hAnsi="Calibri" w:eastAsia="PingFang SC"/>
          <w:i/>
          <w:sz w:val="18"/>
        </w:rPr>
        <w:t>Personalized Benchmarking: Evaluating LLMs by Individual Preferences</w:t>
      </w:r>
      <w:r>
        <w:rPr>
          <w:rFonts w:ascii="Calibri" w:hAnsi="Calibri" w:eastAsia="PingFang SC"/>
          <w:sz w:val="18"/>
        </w:rPr>
        <w:t xml:space="preserve">. Findings of ACL, 2026. </w:t>
      </w:r>
      <w:hyperlink r:id="rId65">
        <w:r>
          <w:rPr>
            <w:rFonts w:ascii="Calibri" w:hAnsi="Calibri" w:eastAsia="PingFang SC"/>
            <w:color w:val="2E74B5"/>
            <w:u w:val="single"/>
            <w:sz w:val="18"/>
            <w:szCs w:val="18"/>
          </w:rPr>
          <w:t>https://aclanthology.org/2026.findings-acl.31/</w:t>
        </w:r>
      </w:hyperlink>
    </w:p>
    <w:p>
      <w:pPr>
        <w:spacing w:after="40" w:line="252" w:lineRule="auto"/>
        <w:ind w:left="360" w:hanging="360"/>
      </w:pPr>
      <w:r>
        <w:rPr>
          <w:rFonts w:ascii="Calibri" w:hAnsi="Calibri" w:eastAsia="PingFang SC"/>
          <w:sz w:val="18"/>
        </w:rPr>
        <w:t xml:space="preserve">[43] Feng et al. </w:t>
      </w:r>
      <w:r>
        <w:rPr>
          <w:rFonts w:ascii="Calibri" w:hAnsi="Calibri" w:eastAsia="PingFang SC"/>
          <w:i/>
          <w:sz w:val="18"/>
        </w:rPr>
        <w:t>How Does Personalized Memory Shape LLM Behavior? Benchmarking Rational Preference Utilization in Personalized Assistants</w:t>
      </w:r>
      <w:r>
        <w:rPr>
          <w:rFonts w:ascii="Calibri" w:hAnsi="Calibri" w:eastAsia="PingFang SC"/>
          <w:sz w:val="18"/>
        </w:rPr>
        <w:t xml:space="preserve">. arXiv:2601.16621, 2026. </w:t>
      </w:r>
      <w:hyperlink r:id="rId20">
        <w:r>
          <w:rPr>
            <w:rFonts w:ascii="Calibri" w:hAnsi="Calibri" w:eastAsia="PingFang SC"/>
            <w:color w:val="2E74B5"/>
            <w:u w:val="single"/>
            <w:sz w:val="18"/>
            <w:szCs w:val="18"/>
          </w:rPr>
          <w:t>https://arxiv.org/abs/2601.16621</w:t>
        </w:r>
      </w:hyperlink>
    </w:p>
    <w:p>
      <w:pPr>
        <w:spacing w:after="40" w:line="252" w:lineRule="auto"/>
        <w:ind w:left="360" w:hanging="360"/>
      </w:pPr>
      <w:r>
        <w:rPr>
          <w:rFonts w:ascii="Calibri" w:hAnsi="Calibri" w:eastAsia="PingFang SC"/>
          <w:sz w:val="18"/>
        </w:rPr>
        <w:t xml:space="preserve">[44] Liang et al. </w:t>
      </w:r>
      <w:r>
        <w:rPr>
          <w:rFonts w:ascii="Calibri" w:hAnsi="Calibri" w:eastAsia="PingFang SC"/>
          <w:i/>
          <w:sz w:val="18"/>
        </w:rPr>
        <w:t>Learning Personalized Agents from Human Feedback</w:t>
      </w:r>
      <w:r>
        <w:rPr>
          <w:rFonts w:ascii="Calibri" w:hAnsi="Calibri" w:eastAsia="PingFang SC"/>
          <w:sz w:val="18"/>
        </w:rPr>
        <w:t xml:space="preserve">. arXiv:2602.16173, 2026. </w:t>
      </w:r>
      <w:hyperlink r:id="rId21">
        <w:r>
          <w:rPr>
            <w:rFonts w:ascii="Calibri" w:hAnsi="Calibri" w:eastAsia="PingFang SC"/>
            <w:color w:val="2E74B5"/>
            <w:u w:val="single"/>
            <w:sz w:val="18"/>
            <w:szCs w:val="18"/>
          </w:rPr>
          <w:t>https://arxiv.org/abs/2602.16173</w:t>
        </w:r>
      </w:hyperlink>
    </w:p>
    <w:p>
      <w:pPr>
        <w:spacing w:after="40" w:line="252" w:lineRule="auto"/>
        <w:ind w:left="360" w:hanging="360"/>
      </w:pPr>
      <w:r>
        <w:rPr>
          <w:rFonts w:ascii="Calibri" w:hAnsi="Calibri" w:eastAsia="PingFang SC"/>
          <w:sz w:val="18"/>
        </w:rPr>
        <w:t xml:space="preserve">[45] In et al. </w:t>
      </w:r>
      <w:r>
        <w:rPr>
          <w:rFonts w:ascii="Calibri" w:hAnsi="Calibri" w:eastAsia="PingFang SC"/>
          <w:i/>
          <w:sz w:val="18"/>
        </w:rPr>
        <w:t>Personalize-then-Store: Benchmarking and Learning Personalized Memory for Long-horizon Agents</w:t>
      </w:r>
      <w:r>
        <w:rPr>
          <w:rFonts w:ascii="Calibri" w:hAnsi="Calibri" w:eastAsia="PingFang SC"/>
          <w:sz w:val="18"/>
        </w:rPr>
        <w:t xml:space="preserve">. arXiv:2605.25535, 2026. </w:t>
      </w:r>
      <w:hyperlink r:id="rId22">
        <w:r>
          <w:rPr>
            <w:rFonts w:ascii="Calibri" w:hAnsi="Calibri" w:eastAsia="PingFang SC"/>
            <w:color w:val="2E74B5"/>
            <w:u w:val="single"/>
            <w:sz w:val="18"/>
            <w:szCs w:val="18"/>
          </w:rPr>
          <w:t>https://arxiv.org/abs/2605.25535</w:t>
        </w:r>
      </w:hyperlink>
    </w:p>
    <w:p>
      <w:pPr>
        <w:spacing w:after="40" w:line="252" w:lineRule="auto"/>
        <w:ind w:left="360" w:hanging="360"/>
      </w:pPr>
      <w:r>
        <w:rPr>
          <w:rFonts w:ascii="Calibri" w:hAnsi="Calibri" w:eastAsia="PingFang SC"/>
          <w:sz w:val="18"/>
        </w:rPr>
        <w:t xml:space="preserve">[46] Uddin et al. </w:t>
      </w:r>
      <w:r>
        <w:rPr>
          <w:rFonts w:ascii="Calibri" w:hAnsi="Calibri" w:eastAsia="PingFang SC"/>
          <w:i/>
          <w:sz w:val="18"/>
        </w:rPr>
        <w:t>From Recall to Forgetting: Benchmarking Long-Term Memory for Personalized Agents</w:t>
      </w:r>
      <w:r>
        <w:rPr>
          <w:rFonts w:ascii="Calibri" w:hAnsi="Calibri" w:eastAsia="PingFang SC"/>
          <w:sz w:val="18"/>
        </w:rPr>
        <w:t xml:space="preserve">. Findings of ACL, 2026. </w:t>
      </w:r>
      <w:hyperlink r:id="rId23">
        <w:r>
          <w:rPr>
            <w:rFonts w:ascii="Calibri" w:hAnsi="Calibri" w:eastAsia="PingFang SC"/>
            <w:color w:val="2E74B5"/>
            <w:u w:val="single"/>
            <w:sz w:val="18"/>
            <w:szCs w:val="18"/>
          </w:rPr>
          <w:t>https://aclanthology.org/2026.findings-acl.1337/</w:t>
        </w:r>
      </w:hyperlink>
    </w:p>
    <w:p>
      <w:pPr>
        <w:spacing w:after="40" w:line="252" w:lineRule="auto"/>
        <w:ind w:left="360" w:hanging="360"/>
      </w:pPr>
      <w:r>
        <w:rPr>
          <w:rFonts w:ascii="Calibri" w:hAnsi="Calibri" w:eastAsia="PingFang SC"/>
          <w:sz w:val="18"/>
        </w:rPr>
        <w:t xml:space="preserve">[47] Hu et al. </w:t>
      </w:r>
      <w:r>
        <w:rPr>
          <w:rFonts w:ascii="Calibri" w:hAnsi="Calibri" w:eastAsia="PingFang SC"/>
          <w:i/>
          <w:sz w:val="18"/>
        </w:rPr>
        <w:t>CloneMem: Benchmarking Long-Term Memory for AI Clones</w:t>
      </w:r>
      <w:r>
        <w:rPr>
          <w:rFonts w:ascii="Calibri" w:hAnsi="Calibri" w:eastAsia="PingFang SC"/>
          <w:sz w:val="18"/>
        </w:rPr>
        <w:t xml:space="preserve">. ACL, 2026. </w:t>
      </w:r>
      <w:hyperlink r:id="rId24">
        <w:r>
          <w:rPr>
            <w:rFonts w:ascii="Calibri" w:hAnsi="Calibri" w:eastAsia="PingFang SC"/>
            <w:color w:val="2E74B5"/>
            <w:u w:val="single"/>
            <w:sz w:val="18"/>
            <w:szCs w:val="18"/>
          </w:rPr>
          <w:t>https://aclanthology.org/2026.acl-long.1549/</w:t>
        </w:r>
      </w:hyperlink>
    </w:p>
    <w:p>
      <w:pPr>
        <w:spacing w:after="40" w:line="252" w:lineRule="auto"/>
        <w:ind w:left="360" w:hanging="360"/>
      </w:pPr>
      <w:r>
        <w:rPr>
          <w:rFonts w:ascii="Calibri" w:hAnsi="Calibri" w:eastAsia="PingFang SC"/>
          <w:sz w:val="18"/>
        </w:rPr>
        <w:t xml:space="preserve">[48] Shen et al. </w:t>
      </w:r>
      <w:r>
        <w:rPr>
          <w:rFonts w:ascii="Calibri" w:hAnsi="Calibri" w:eastAsia="PingFang SC"/>
          <w:i/>
          <w:sz w:val="18"/>
        </w:rPr>
        <w:t>Mem2ActBench: A Benchmark for Evaluating Long-Term Memory Utilization in Task-Oriented Autonomous Agents</w:t>
      </w:r>
      <w:r>
        <w:rPr>
          <w:rFonts w:ascii="Calibri" w:hAnsi="Calibri" w:eastAsia="PingFang SC"/>
          <w:sz w:val="18"/>
        </w:rPr>
        <w:t xml:space="preserve">. ACL, 2026. </w:t>
      </w:r>
      <w:hyperlink r:id="rId17">
        <w:r>
          <w:rPr>
            <w:rFonts w:ascii="Calibri" w:hAnsi="Calibri" w:eastAsia="PingFang SC"/>
            <w:color w:val="2E74B5"/>
            <w:u w:val="single"/>
            <w:sz w:val="18"/>
            <w:szCs w:val="18"/>
          </w:rPr>
          <w:t>https://aclanthology.org/2026.acl-long.370/</w:t>
        </w:r>
      </w:hyperlink>
    </w:p>
    <w:p>
      <w:pPr>
        <w:spacing w:after="40" w:line="252" w:lineRule="auto"/>
        <w:ind w:left="360" w:hanging="360"/>
      </w:pPr>
      <w:r>
        <w:rPr>
          <w:rFonts w:ascii="Calibri" w:hAnsi="Calibri" w:eastAsia="PingFang SC"/>
          <w:sz w:val="18"/>
        </w:rPr>
        <w:t xml:space="preserve">[49] Chen et al. </w:t>
      </w:r>
      <w:r>
        <w:rPr>
          <w:rFonts w:ascii="Calibri" w:hAnsi="Calibri" w:eastAsia="PingFang SC"/>
          <w:i/>
          <w:sz w:val="18"/>
        </w:rPr>
        <w:t>Towards Preference Following in Tool Calling Language Agents</w:t>
      </w:r>
      <w:r>
        <w:rPr>
          <w:rFonts w:ascii="Calibri" w:hAnsi="Calibri" w:eastAsia="PingFang SC"/>
          <w:sz w:val="18"/>
        </w:rPr>
        <w:t xml:space="preserve">. Findings of ACL, 2026. </w:t>
      </w:r>
      <w:hyperlink r:id="rId16">
        <w:r>
          <w:rPr>
            <w:rFonts w:ascii="Calibri" w:hAnsi="Calibri" w:eastAsia="PingFang SC"/>
            <w:color w:val="2E74B5"/>
            <w:u w:val="single"/>
            <w:sz w:val="18"/>
            <w:szCs w:val="18"/>
          </w:rPr>
          <w:t>https://aclanthology.org/2026.findings-acl.1676/</w:t>
        </w:r>
      </w:hyperlink>
    </w:p>
    <w:p>
      <w:pPr>
        <w:spacing w:after="40" w:line="252" w:lineRule="auto"/>
        <w:ind w:left="360" w:hanging="360"/>
      </w:pPr>
      <w:r>
        <w:rPr>
          <w:rFonts w:ascii="Calibri" w:hAnsi="Calibri" w:eastAsia="PingFang SC"/>
          <w:sz w:val="18"/>
        </w:rPr>
        <w:t xml:space="preserve">[50] Lyu et al. </w:t>
      </w:r>
      <w:r>
        <w:rPr>
          <w:rFonts w:ascii="Calibri" w:hAnsi="Calibri" w:eastAsia="PingFang SC"/>
          <w:i/>
          <w:sz w:val="18"/>
        </w:rPr>
        <w:t>PersonalAlign: Hierarchical Implicit Intent Alignment for Personalized GUI Agent with Long-Term User-Centric Records</w:t>
      </w:r>
      <w:r>
        <w:rPr>
          <w:rFonts w:ascii="Calibri" w:hAnsi="Calibri" w:eastAsia="PingFang SC"/>
          <w:sz w:val="18"/>
        </w:rPr>
        <w:t xml:space="preserve">. ACL, 2026. </w:t>
      </w:r>
      <w:hyperlink r:id="rId18">
        <w:r>
          <w:rPr>
            <w:rFonts w:ascii="Calibri" w:hAnsi="Calibri" w:eastAsia="PingFang SC"/>
            <w:color w:val="2E74B5"/>
            <w:u w:val="single"/>
            <w:sz w:val="18"/>
            <w:szCs w:val="18"/>
          </w:rPr>
          <w:t>https://aclanthology.org/2026.acl-long.1669/</w:t>
        </w:r>
      </w:hyperlink>
    </w:p>
    <w:p>
      <w:pPr>
        <w:spacing w:after="40" w:line="252" w:lineRule="auto"/>
        <w:ind w:left="360" w:hanging="360"/>
      </w:pPr>
      <w:r>
        <w:rPr>
          <w:rFonts w:ascii="Calibri" w:hAnsi="Calibri" w:eastAsia="PingFang SC"/>
          <w:sz w:val="18"/>
        </w:rPr>
        <w:t xml:space="preserve">[51] Wang et al. </w:t>
      </w:r>
      <w:r>
        <w:rPr>
          <w:rFonts w:ascii="Calibri" w:hAnsi="Calibri" w:eastAsia="PingFang SC"/>
          <w:i/>
          <w:sz w:val="18"/>
        </w:rPr>
        <w:t>OPeRA: A Dataset of Observation, Persona, Rationale, and Action for Evaluating LLMs on Human Online Shopping Behavior Simulation</w:t>
      </w:r>
      <w:r>
        <w:rPr>
          <w:rFonts w:ascii="Calibri" w:hAnsi="Calibri" w:eastAsia="PingFang SC"/>
          <w:sz w:val="18"/>
        </w:rPr>
        <w:t xml:space="preserve">. ACL, 2026. </w:t>
      </w:r>
      <w:hyperlink r:id="rId62">
        <w:r>
          <w:rPr>
            <w:rFonts w:ascii="Calibri" w:hAnsi="Calibri" w:eastAsia="PingFang SC"/>
            <w:color w:val="2E74B5"/>
            <w:u w:val="single"/>
            <w:sz w:val="18"/>
            <w:szCs w:val="18"/>
          </w:rPr>
          <w:t>https://aclanthology.org/2026.acl-long.2033/</w:t>
        </w:r>
      </w:hyperlink>
    </w:p>
    <w:p>
      <w:pPr>
        <w:spacing w:after="40" w:line="252" w:lineRule="auto"/>
        <w:ind w:left="360" w:hanging="360"/>
      </w:pPr>
      <w:r>
        <w:rPr>
          <w:rFonts w:ascii="Calibri" w:hAnsi="Calibri" w:eastAsia="PingFang SC"/>
          <w:sz w:val="18"/>
        </w:rPr>
        <w:t xml:space="preserve">[52] Guo et al. </w:t>
      </w:r>
      <w:r>
        <w:rPr>
          <w:rFonts w:ascii="Calibri" w:hAnsi="Calibri" w:eastAsia="PingFang SC"/>
          <w:i/>
          <w:sz w:val="18"/>
        </w:rPr>
        <w:t>When Personalization Legitimizes Risks: Uncovering Safety Vulnerabilities in Personalized Dialogue Agents</w:t>
      </w:r>
      <w:r>
        <w:rPr>
          <w:rFonts w:ascii="Calibri" w:hAnsi="Calibri" w:eastAsia="PingFang SC"/>
          <w:sz w:val="18"/>
        </w:rPr>
        <w:t xml:space="preserve">. ACL, 2026. </w:t>
      </w:r>
      <w:hyperlink r:id="rId64">
        <w:r>
          <w:rPr>
            <w:rFonts w:ascii="Calibri" w:hAnsi="Calibri" w:eastAsia="PingFang SC"/>
            <w:color w:val="2E74B5"/>
            <w:u w:val="single"/>
            <w:sz w:val="18"/>
            <w:szCs w:val="18"/>
          </w:rPr>
          <w:t>https://aclanthology.org/2026.acl-long.1260/</w:t>
        </w:r>
      </w:hyperlink>
    </w:p>
    <w:p>
      <w:pPr>
        <w:spacing w:after="40" w:line="252" w:lineRule="auto"/>
        <w:ind w:left="360" w:hanging="360"/>
      </w:pPr>
      <w:r>
        <w:rPr>
          <w:rFonts w:ascii="Calibri" w:hAnsi="Calibri" w:eastAsia="PingFang SC"/>
          <w:sz w:val="18"/>
        </w:rPr>
        <w:t xml:space="preserve">[53] Weeber et al. </w:t>
      </w:r>
      <w:r>
        <w:rPr>
          <w:rFonts w:ascii="Calibri" w:hAnsi="Calibri" w:eastAsia="PingFang SC"/>
          <w:i/>
          <w:sz w:val="18"/>
        </w:rPr>
        <w:t>One Persona, Many Cues, Different Results: How Sociodemographic Cues Impact LLM Personalization</w:t>
      </w:r>
      <w:r>
        <w:rPr>
          <w:rFonts w:ascii="Calibri" w:hAnsi="Calibri" w:eastAsia="PingFang SC"/>
          <w:sz w:val="18"/>
        </w:rPr>
        <w:t xml:space="preserve">. ACL, 2026. </w:t>
      </w:r>
      <w:hyperlink r:id="rId36">
        <w:r>
          <w:rPr>
            <w:rFonts w:ascii="Calibri" w:hAnsi="Calibri" w:eastAsia="PingFang SC"/>
            <w:color w:val="2E74B5"/>
            <w:u w:val="single"/>
            <w:sz w:val="18"/>
            <w:szCs w:val="18"/>
          </w:rPr>
          <w:t>https://aclanthology.org/2026.acl-long.2079/</w:t>
        </w:r>
      </w:hyperlink>
    </w:p>
    <w:p>
      <w:pPr>
        <w:spacing w:after="40" w:line="252" w:lineRule="auto"/>
        <w:ind w:left="360" w:hanging="360"/>
      </w:pPr>
      <w:r>
        <w:rPr>
          <w:rFonts w:ascii="Calibri" w:hAnsi="Calibri" w:eastAsia="PingFang SC"/>
          <w:sz w:val="18"/>
        </w:rPr>
        <w:t xml:space="preserve">[54] Qiu et al. </w:t>
      </w:r>
      <w:r>
        <w:rPr>
          <w:rFonts w:ascii="Calibri" w:hAnsi="Calibri" w:eastAsia="PingFang SC"/>
          <w:i/>
          <w:sz w:val="18"/>
        </w:rPr>
        <w:t>Preference-Aware Rubric Learning for Personalized Evaluation</w:t>
      </w:r>
      <w:r>
        <w:rPr>
          <w:rFonts w:ascii="Calibri" w:hAnsi="Calibri" w:eastAsia="PingFang SC"/>
          <w:sz w:val="18"/>
        </w:rPr>
        <w:t xml:space="preserve">. arXiv:2605.31545, 2026. </w:t>
      </w:r>
      <w:hyperlink r:id="rId37">
        <w:r>
          <w:rPr>
            <w:rFonts w:ascii="Calibri" w:hAnsi="Calibri" w:eastAsia="PingFang SC"/>
            <w:color w:val="2E74B5"/>
            <w:u w:val="single"/>
            <w:sz w:val="18"/>
            <w:szCs w:val="18"/>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