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从绝对适配到反事实用户特异性</w:t>
      </w:r>
    </w:p>
    <w:p>
      <w:pPr>
        <w:spacing w:after="520"/>
        <w:jc w:val="center"/>
        <w:pBdr>
          <w:bottom w:val="single" w:sz="8" w:space="8" w:color="7A9BB7"/>
        </w:pBdr>
      </w:pPr>
      <w:r>
        <w:rPr>
          <w:rFonts w:ascii="Calibri" w:hAnsi="Calibri" w:eastAsia="PingFang SC"/>
          <w:b/>
          <w:color w:val="5B6B7A"/>
          <w:sz w:val="21"/>
        </w:rPr>
        <w:t>Interactive Agents · Personalization · Deep Research</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v0.51 · PDR 资源池、反事实筛选与投稿排期版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14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JudgeBench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逐周执行门、贡献与主张边界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阅读提示：先看主图和研究概要理解 absolute adaptation 与 counterfactual specificity 的区别；PDR 资源池筛选、指标、反例实验和逐周证据门是当前版本的决策重点。</w:t>
      </w:r>
    </w:p>
    <w:p>
      <w:r>
        <w:br w:type="page"/>
      </w:r>
    </w:p>
    <w:p>
      <w:pPr>
        <w:pStyle w:val="Heading1"/>
      </w:pPr>
      <w:r>
        <w:t>研究概要</w:t>
      </w:r>
    </w:p>
    <w:p>
      <w:r>
        <w:rPr>
          <w:rFonts w:ascii="Calibri" w:hAnsi="Calibri" w:eastAsia="PingFang SC"/>
        </w:rPr>
        <w:t>Deep Research 智能体已经能检索、综合并生成长报告，PDR-Bench 也已经建立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但一个单用户绝对分仍不能回答另一个构念：</w:t>
      </w:r>
      <w:r>
        <w:rPr>
          <w:rFonts w:ascii="Calibri" w:hAnsi="Calibri" w:eastAsia="PingFang SC"/>
          <w:b/>
        </w:rPr>
        <w:t>只改变目标用户、固定任务和证据后，系统是否会发生方向正确且只对该用户必要的变化。</w:t>
      </w:r>
      <w:r>
        <w:rPr>
          <w:rFonts w:ascii="Calibri" w:hAnsi="Calibri" w:eastAsia="PingFang SC"/>
        </w:rPr>
        <w:t xml:space="preserve"> 一份高质量通用报告可能对两位用户都拿高分；一份反复提及 persona 的报告也可能在最终决策上用错约束。DeepAlign-Bench 的主目标是识别这种 counterfactual user specificity，而不是再造一个更复杂的绝对适配总分。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投稿版本先完成 3 个完整 family 的官方 judge + 真人校准，再把主实验扩到约 12–20 个通过反事实筛选的 family、2–3 条 agent 管线。v0.50 不再把 structured persona、clarification、memory 和中途更新混写成平级“渠道”，而是把每次 Deep Research 运行统一建模为一个 </w:t>
      </w:r>
      <w:r>
        <w:rPr>
          <w:rFonts w:ascii="Calibri" w:hAnsi="Calibri" w:eastAsia="PingFang SC"/>
          <w:b/>
        </w:rPr>
        <w:t>research episode</w:t>
      </w:r>
      <w:r>
        <w:rPr>
          <w:rFonts w:ascii="Calibri" w:hAnsi="Calibri" w:eastAsia="PingFang SC"/>
        </w:rPr>
        <w:t>：任务初始信息是否充分、用户何时可交互、信息由谁产生、通过什么载体进入上下文、何时可用、能否更新，以及系统是否具备相应的 ask/retrieve/checkpoint/revise 能力。不同产品范式只是这些轴的配置。首版只运行四个可解释的核心条件：</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P4 checkpoint update</w:t>
      </w:r>
      <w:r>
        <w:rPr>
          <w:rFonts w:ascii="Calibri" w:hAnsi="Calibri" w:eastAsia="PingFang SC"/>
        </w:rPr>
        <w:t>；中途提问、memory retrieval、private workspace 与 draft-feedback revision 先进入扩展库，不做完整笛卡尔积。v0.51 又完整导入 PDR-Bench 的公开资源池，但不把原有 task-user 配对直接视作 DeepAlign 反事实真值。</w:t>
      </w:r>
    </w:p>
    <w:p>
      <w:r>
        <w:rPr>
          <w:rFonts w:ascii="Calibri" w:hAnsi="Calibri" w:eastAsia="PingFang SC"/>
          <w:b/>
        </w:rPr>
        <w:t>一句话研究目标：</w:t>
      </w:r>
      <w:r>
        <w:rPr>
          <w:rFonts w:ascii="Calibri" w:hAnsi="Calibri" w:eastAsia="PingFang SC"/>
        </w:rPr>
        <w:t>在固定任务、证据、工具和预算时，检验 Deep Research agent 的最终交付物是否同时具有双向反事实用户特异性、绝对合格、相对通用回答的真实收益、共同质量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整体框架与 PDR-compatible 压力测试</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整体框架与PDR压力测试_v0.51.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从 PDR 全量资源池、case/task/user 元数据和统一 Research Episode，到 2×2 交叉评分、五道非补偿门、系统能力地图与逐周证据升级。</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RQ3（范式鲁棒性）：</w:t>
      </w:r>
      <w:r>
        <w:rPr>
          <w:rFonts w:ascii="Calibri" w:hAnsi="Calibri" w:eastAsia="PingFang SC"/>
        </w:rPr>
        <w:t>同一隐藏 user state 在一次性直接提供、主动澄清、执行中更新或外部 memory/workspace 检索等 research episode 中被获得时，系统排序和关键决策是否稳定；差异来自信息使用、主动获取还是状态更新？</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都要说明：测什么任务、在什么环境中运行、目标用户是谁、这一次研究 episode 允许怎样交互和获得信息、被测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所有 Deep Research 范式如何统一建模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ontology，不是首版运行矩阵。主因果矩阵只选择 P0/P1/P2/P4：分别回答没有用户信息时能写多好、信息给到后会不会用、信息缺失时会不会主动问并采用、状态变化后会不会更新且清除旧结论。P3/P5/P6/P7 等 E3 vertical slice 跑通后按 family 适用性加入。</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5.0a PDR-Bench 全量资源池如何进入 DeepAlign</w:t>
      </w:r>
    </w:p>
    <w:p>
      <w:r>
        <w:rPr>
          <w:rFonts w:ascii="Calibri" w:hAnsi="Calibri" w:eastAsia="PingFang SC"/>
        </w:rPr>
        <w:t xml:space="preserve">v0.51 已从 </w:t>
      </w:r>
      <w:hyperlink r:id="rId81">
        <w:r>
          <w:rPr>
            <w:rFonts w:ascii="Calibri" w:hAnsi="Calibri" w:eastAsia="PingFang SC"/>
            <w:color w:val="2E74B5"/>
            <w:u w:val="single"/>
          </w:rPr>
          <w:t>PDR-Bench 官方仓库</w:t>
        </w:r>
      </w:hyperlink>
      <w:r>
        <w:rPr>
          <w:rFonts w:ascii="Calibri" w:hAnsi="Calibri" w:eastAsia="PingFang SC"/>
        </w:rPr>
        <w:t xml:space="preserve"> 固定 commit </w:t>
      </w:r>
      <w:r>
        <w:rPr>
          <w:rFonts w:ascii="Courier New" w:hAnsi="Courier New" w:eastAsia="PingFang SC"/>
          <w:color w:val="6A3E00"/>
          <w:sz w:val="20"/>
        </w:rPr>
        <w:t>5b43f9f188c747d154fc7666812ab93b7ca6a3c2</w:t>
      </w:r>
      <w:r>
        <w:rPr>
          <w:rFonts w:ascii="Calibri" w:hAnsi="Calibri" w:eastAsia="PingFang SC"/>
        </w:rPr>
        <w:t xml:space="preserve"> 导入 50 个中英双语任务、25 个 structured persona、25 份 context 和 250 个官方 task-user 配对，并保存上游文件哈希和 Apache-2.0 许可证。PDR-Bench 论文说明，structured persona 是 25 位志愿者在知情同意下自填并去标识化后的公开衍生数据；context 中的 memory/chat 则由专业标注者模拟，不是真实用户的自然行为轨迹。</w:t>
      </w:r>
      <w:hyperlink r:id="rId11">
        <w:r>
          <w:rPr>
            <w:rFonts w:ascii="Calibri" w:hAnsi="Calibri" w:eastAsia="PingFang SC"/>
            <w:color w:val="2E74B5"/>
            <w:u w:val="single"/>
          </w:rPr>
          <w:t>[4]</w:t>
        </w:r>
      </w:hyperlink>
      <w:r>
        <w:rPr>
          <w:rFonts w:ascii="Calibri" w:hAnsi="Calibri" w:eastAsia="PingFang SC"/>
        </w:rPr>
        <w:t xml:space="preserve"> 因此本项目将二者分别标为 </w:t>
      </w:r>
      <w:r>
        <w:rPr>
          <w:rFonts w:ascii="Courier New" w:hAnsi="Courier New" w:eastAsia="PingFang SC"/>
          <w:color w:val="6A3E00"/>
          <w:sz w:val="20"/>
        </w:rPr>
        <w:t>volunteer-grounded structured persona</w:t>
      </w:r>
      <w:r>
        <w:rPr>
          <w:rFonts w:ascii="Calibri" w:hAnsi="Calibri" w:eastAsia="PingFang SC"/>
        </w:rPr>
        <w:t xml:space="preserve"> 与 </w:t>
      </w:r>
      <w:r>
        <w:rPr>
          <w:rFonts w:ascii="Courier New" w:hAnsi="Courier New" w:eastAsia="PingFang SC"/>
          <w:color w:val="6A3E00"/>
          <w:sz w:val="20"/>
        </w:rPr>
        <w:t>annotator-simulated dynamic context</w:t>
      </w:r>
      <w:r>
        <w:rPr>
          <w:rFonts w:ascii="Calibri" w:hAnsi="Calibri" w:eastAsia="PingFang SC"/>
        </w:rPr>
        <w:t>，不能统称为“全部真人轨迹”。</w:t>
      </w:r>
    </w:p>
    <w:p>
      <w:r>
        <w:rPr>
          <w:rFonts w:ascii="Calibri" w:hAnsi="Calibri" w:eastAsia="PingFang SC"/>
        </w:rPr>
        <w:t>完整导入只是</w:t>
      </w:r>
      <w:r>
        <w:rPr>
          <w:rFonts w:ascii="Calibri" w:hAnsi="Calibri" w:eastAsia="PingFang SC"/>
          <w:b/>
        </w:rPr>
        <w:t>资源池</w:t>
      </w:r>
      <w:r>
        <w:rPr>
          <w:rFonts w:ascii="Calibri" w:hAnsi="Calibri" w:eastAsia="PingFang SC"/>
        </w:rPr>
        <w:t xml:space="preserve">，不是主实验自动成立。PDR 的每个任务原本对应约 5 位相关用户，但 DeepAlign 需要的是其中两位在相同任务下形成可预注册的关键决策分歧。程序已把 250 个官方配对展开成 501 个同任务候选用户对；研究者必须逐对回答：两位用户是否都自然地关心该任务；哪些最小事实会改变最终选择、风险门槛或行动计划；什么必须保持；matched/swapped reference 是否可稳定区分。只有通过双人独立审查和仲裁，才能写入 </w:t>
      </w:r>
      <w:r>
        <w:rPr>
          <w:rFonts w:ascii="Courier New" w:hAnsi="Courier New" w:eastAsia="PingFang SC"/>
          <w:color w:val="6A3E00"/>
          <w:sz w:val="20"/>
        </w:rPr>
        <w:t>must-change / must-hold / must-not / clarify-if-unknown</w:t>
      </w:r>
      <w:r>
        <w:rPr>
          <w:rFonts w:ascii="Calibri" w:hAnsi="Calibri" w:eastAsia="PingFang SC"/>
        </w:rPr>
        <w:t xml:space="preserve"> 并成为一个 DeepAlign family。</w:t>
      </w:r>
    </w:p>
    <w:p>
      <w:r>
        <w:rPr>
          <w:rFonts w:ascii="Calibri" w:hAnsi="Calibri" w:eastAsia="PingFang SC"/>
        </w:rPr>
        <w:t xml:space="preserve">导入审计还发现一个上游发布异常：250 条 query 总数正确，但 task 8 公开了 4 位用户，task 10 公开了 6 位用户，而不是每题严格 5 位；中英文配对一致。DeepAlign 原样保留并报告，不补造或删除记录。Health、Finance、Law 三类共 15 个任务在领域专家审查完成前只进入候选/扩展集。主结果优先选择 12–20 个低至中等风险、决策差异清楚、证据可冻结的 family；其余 50-task 资源池继续公开作为覆盖与负结果。机器可读导入、501-pair 审计表和校验器位于 </w:t>
      </w:r>
      <w:r>
        <w:rPr>
          <w:rFonts w:ascii="Courier New" w:hAnsi="Courier New" w:eastAsia="PingFang SC"/>
          <w:color w:val="6A3E00"/>
          <w:sz w:val="20"/>
        </w:rPr>
        <w:t>data/pdr_import_v0_51/</w:t>
      </w:r>
      <w:r>
        <w:rPr>
          <w:rFonts w:ascii="Calibri" w:hAnsi="Calibri" w:eastAsia="PingFang SC"/>
        </w:rPr>
        <w:t>。</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四重门后，才扩到 </w:t>
      </w:r>
      <w:r>
        <w:rPr>
          <w:rFonts w:ascii="Calibri" w:hAnsi="Calibri" w:eastAsia="PingFang SC"/>
          <w:b/>
        </w:rPr>
        <w:t>8–12 个决策 family</w:t>
      </w:r>
      <w:r>
        <w:rPr>
          <w:rFonts w:ascii="Calibri" w:hAnsi="Calibri" w:eastAsia="PingFang SC"/>
        </w:rPr>
        <w:t>。真人招募暂按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1"/>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1"/>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1"/>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1"/>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1"/>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1"/>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1"/>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1"/>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2"/>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2"/>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2"/>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2"/>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2"/>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2"/>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3"/>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3"/>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3"/>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3"/>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3"/>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3"/>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4"/>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4"/>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4"/>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4"/>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4"/>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4"/>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4"/>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5"/>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5"/>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5"/>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5"/>
        </w:numPr>
        <w:spacing w:after="80" w:line="290" w:lineRule="auto"/>
        <w:ind w:left="540" w:hanging="279"/>
      </w:pPr>
      <w:r>
        <w:rPr>
          <w:rFonts w:ascii="Calibri" w:hAnsi="Calibri" w:eastAsia="PingFang SC"/>
        </w:rPr>
        <w:t>matched outputs 均通过 TQ、FR、must-hold 与 owner-aware critical must-not gate；</w:t>
      </w:r>
    </w:p>
    <w:p>
      <w:pPr>
        <w:numPr>
          <w:ilvl w:val="0"/>
          <w:numId w:val="25"/>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6"/>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6"/>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6"/>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6"/>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6"/>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hyperlink r:id="rId46">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7"/>
        </w:numPr>
        <w:spacing w:after="80" w:line="290" w:lineRule="auto"/>
        <w:ind w:left="540" w:hanging="279"/>
      </w:pPr>
      <w:r>
        <w:rPr>
          <w:rFonts w:ascii="Calibri" w:hAnsi="Calibri" w:eastAsia="PingFang SC"/>
        </w:rPr>
        <w:t>Task only；</w:t>
      </w:r>
    </w:p>
    <w:p>
      <w:pPr>
        <w:numPr>
          <w:ilvl w:val="0"/>
          <w:numId w:val="27"/>
        </w:numPr>
        <w:spacing w:after="80" w:line="290" w:lineRule="auto"/>
        <w:ind w:left="540" w:hanging="279"/>
      </w:pPr>
      <w:r>
        <w:rPr>
          <w:rFonts w:ascii="Calibri" w:hAnsi="Calibri" w:eastAsia="PingFang SC"/>
        </w:rPr>
        <w:t>Oracle structured persona；</w:t>
      </w:r>
    </w:p>
    <w:p>
      <w:pPr>
        <w:numPr>
          <w:ilvl w:val="0"/>
          <w:numId w:val="27"/>
        </w:numPr>
        <w:spacing w:after="80" w:line="290" w:lineRule="auto"/>
        <w:ind w:left="540" w:hanging="279"/>
      </w:pPr>
      <w:r>
        <w:rPr>
          <w:rFonts w:ascii="Calibri" w:hAnsi="Calibri" w:eastAsia="PingFang SC"/>
        </w:rPr>
        <w:t>语义等价的自然对话历史；</w:t>
      </w:r>
    </w:p>
    <w:p>
      <w:pPr>
        <w:numPr>
          <w:ilvl w:val="0"/>
          <w:numId w:val="27"/>
        </w:numPr>
        <w:spacing w:after="80" w:line="290" w:lineRule="auto"/>
        <w:ind w:left="540" w:hanging="279"/>
      </w:pPr>
      <w:r>
        <w:rPr>
          <w:rFonts w:ascii="Calibri" w:hAnsi="Calibri" w:eastAsia="PingFang SC"/>
        </w:rPr>
        <w:t>历史 + 检索式 memory；</w:t>
      </w:r>
    </w:p>
    <w:p>
      <w:pPr>
        <w:numPr>
          <w:ilvl w:val="0"/>
          <w:numId w:val="27"/>
        </w:numPr>
        <w:spacing w:after="80" w:line="290" w:lineRule="auto"/>
        <w:ind w:left="540" w:hanging="279"/>
      </w:pPr>
      <w:r>
        <w:rPr>
          <w:rFonts w:ascii="Calibri" w:hAnsi="Calibri" w:eastAsia="PingFang SC"/>
        </w:rPr>
        <w:t>主动澄清；</w:t>
      </w:r>
    </w:p>
    <w:p>
      <w:pPr>
        <w:numPr>
          <w:ilvl w:val="0"/>
          <w:numId w:val="27"/>
        </w:numPr>
        <w:spacing w:after="80" w:line="290" w:lineRule="auto"/>
        <w:ind w:left="540" w:hanging="279"/>
      </w:pPr>
      <w:r>
        <w:rPr>
          <w:rFonts w:ascii="Calibri" w:hAnsi="Calibri" w:eastAsia="PingFang SC"/>
        </w:rPr>
        <w:t>Persona shuffled（目标用户不变、只交换可见 signal bundle 的负对照）；</w:t>
      </w:r>
    </w:p>
    <w:p>
      <w:pPr>
        <w:numPr>
          <w:ilvl w:val="0"/>
          <w:numId w:val="27"/>
        </w:numPr>
        <w:spacing w:after="80" w:line="290" w:lineRule="auto"/>
        <w:ind w:left="540" w:hanging="279"/>
      </w:pPr>
      <w:r>
        <w:rPr>
          <w:rFonts w:ascii="Calibri" w:hAnsi="Calibri" w:eastAsia="PingFang SC"/>
        </w:rPr>
        <w:t>Irrelevant persona（无关属性，过度个性化探针）；</w:t>
      </w:r>
    </w:p>
    <w:p>
      <w:pPr>
        <w:numPr>
          <w:ilvl w:val="0"/>
          <w:numId w:val="27"/>
        </w:numPr>
        <w:spacing w:after="80" w:line="290" w:lineRule="auto"/>
        <w:ind w:left="540" w:hanging="279"/>
      </w:pPr>
      <w:r>
        <w:rPr>
          <w:rFonts w:ascii="Calibri" w:hAnsi="Calibri" w:eastAsia="PingFang SC"/>
        </w:rPr>
        <w:t>Contradictory/dated history（冲突与时效）；</w:t>
      </w:r>
    </w:p>
    <w:p>
      <w:pPr>
        <w:numPr>
          <w:ilvl w:val="0"/>
          <w:numId w:val="27"/>
        </w:numPr>
        <w:spacing w:after="80" w:line="290" w:lineRule="auto"/>
        <w:ind w:left="540" w:hanging="279"/>
      </w:pPr>
      <w:r>
        <w:rPr>
          <w:rFonts w:ascii="Calibri" w:hAnsi="Calibri" w:eastAsia="PingFang SC"/>
        </w:rPr>
        <w:t>Context dilution（不同长度和位置）；</w:t>
      </w:r>
    </w:p>
    <w:p>
      <w:pPr>
        <w:numPr>
          <w:ilvl w:val="0"/>
          <w:numId w:val="27"/>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：先完成 3 个端到端 decision vertical slice；通过 utility 可冻结、task shell 等价、报告质量配平和盲化门后，扩到 8–12 个决策 family、约 36–48 名真实目标用户和 2–3 条可比 agent/报告生成管线。Phase A 可运行更多离线 artifact episode，但 Phase B 的真人功效优先于 taxonomy 或 agent 数量。长期状态、证据污染和权限只在 2–4 个适用 anchor 上做单因素压力层。</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8"/>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8"/>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8"/>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8"/>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先承认 PDR-Bench 已能用 task/persona-conditioned P-Score 评价 absolute adaptation，v0.31 的跨用户 2×2 矩阵只是把 artifact-fit 的识别做得更严格。v0.32 的核心增量不再是另一种 fit 分数，而是把 task-only、matched、swapped 报告作为随机化处理，检验它们是否降低真实目标用户在预冻结 utility 下的 decision regret。PF/CFA、</w:t>
      </w:r>
      <w:r>
        <w:rPr>
          <w:rFonts w:ascii="Courier New" w:hAnsi="Courier New" w:eastAsia="PingFang SC"/>
          <w:color w:val="6A3E00"/>
          <w:sz w:val="20"/>
        </w:rPr>
        <w:t>must-change / must-hold / must-not</w:t>
      </w:r>
      <w:r>
        <w:rPr>
          <w:rFonts w:ascii="Calibri" w:hAnsi="Calibri" w:eastAsia="PingFang SC"/>
        </w:rPr>
        <w:t>、目标用户盲评和 JudgeBench 只确认处理成立并解释机制；DDE、WrongUserHarm、硬约束和置信度校准承担主要结论。更多任务、agent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9"/>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9"/>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9"/>
        </w:numPr>
        <w:spacing w:after="80" w:line="290" w:lineRule="auto"/>
        <w:ind w:left="540" w:hanging="279"/>
      </w:pPr>
      <w:r>
        <w:rPr>
          <w:rFonts w:ascii="Calibri" w:hAnsi="Calibri" w:eastAsia="PingFang SC"/>
          <w:b/>
        </w:rPr>
        <w:t>反例驱动的 JudgeBench。</w:t>
      </w:r>
      <w:r>
        <w:rPr>
          <w:rFonts w:ascii="Calibri" w:hAnsi="Calibri" w:eastAsia="PingFang SC"/>
        </w:rPr>
        <w:t xml:space="preserve"> 用 general-good、over-personalized、mention-only、wrong-user 和 persona-keyword artifacts 审计动态 rubric 是否真的绑定到最终决策，而非只奖励关键词和一般质量；</w:t>
      </w:r>
    </w:p>
    <w:p>
      <w:pPr>
        <w:numPr>
          <w:ilvl w:val="0"/>
          <w:numId w:val="29"/>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ledger/contracts/final rubric；区分“信息给到后会用”与“需要交互获取时仍能用”；</w:t>
      </w:r>
    </w:p>
    <w:p>
      <w:pPr>
        <w:numPr>
          <w:ilvl w:val="0"/>
          <w:numId w:val="29"/>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能构造自然的 paired users，并在输出前冻结 must-change/must-hold/must-not、task-only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3 个 decision vertical slice、utility schema 与等价 task-shell 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utility 是否可在输出前定义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8–12 family、参与者与主要终点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30"/>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0"/>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0"/>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0"/>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0"/>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0"/>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0"/>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0"/>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0"/>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：3 个端到端 vertical slice 先验证构念；通过后扩到 8–12 个决策 family。预计约 36–48 名真实目标用户，但最终样本量由 pilot 方差和最小有意义 regret 改善做功效模拟后冻结。</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：首版只验证一件核心事情：个性化研究交付物是否因果性地改善目标用户的可验证决策。若 CFA 高而 DDE 不提高，论文将报告 artifact-fit 代理失效。论文不声称覆盖所有 DR 模式，也不从 final-only 数据推断内部理解机制。</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user/family 方差和 power simulation 冻结 8–12 个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2">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3">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4">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5">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6">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87">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88">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89">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1"/>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1"/>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1"/>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1"/>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1"/>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1"/>
        </w:numPr>
        <w:spacing w:after="80" w:line="290" w:lineRule="auto"/>
        <w:ind w:left="540" w:hanging="279"/>
      </w:pPr>
      <w:r>
        <w:rPr>
          <w:rFonts w:ascii="Calibri" w:hAnsi="Calibri" w:eastAsia="PingFang SC"/>
        </w:rPr>
        <w:t>只有 3 个 family 中至少 2 个通过 utility、task-shell 等价、报告质量配平和实施可行性门，才扩到 8–12 个；否则优先修改构念和实验设计。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2"/>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2"/>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2"/>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hyperlink r:id="rId90">
        <w:r>
          <w:rPr>
            <w:rFonts w:ascii="Calibri" w:hAnsi="Calibri" w:eastAsia="PingFang SC"/>
            <w:color w:val="2E74B5"/>
            <w:u w:val="single"/>
          </w:rPr>
          <w:t>ICLR 2027 官方 Author Guidelines</w:t>
        </w:r>
      </w:hyperlink>
      <w:r>
        <w:rPr>
          <w:rFonts w:ascii="Calibri" w:hAnsi="Calibri" w:eastAsia="PingFang SC"/>
        </w:rPr>
        <w:t xml:space="preserve"> 当前给出的 abstract deadline 是 </w:t>
      </w:r>
      <w:r>
        <w:rPr>
          <w:rFonts w:ascii="Calibri" w:hAnsi="Calibri" w:eastAsia="PingFang SC"/>
          <w:b/>
        </w:rPr>
        <w:t>2026-09-18 AOE</w:t>
      </w:r>
      <w:r>
        <w:rPr>
          <w:rFonts w:ascii="Calibri" w:hAnsi="Calibri" w:eastAsia="PingFang SC"/>
        </w:rPr>
        <w:t xml:space="preserve">，paper deadline 是 </w:t>
      </w:r>
      <w:r>
        <w:rPr>
          <w:rFonts w:ascii="Calibri" w:hAnsi="Calibri" w:eastAsia="PingFang SC"/>
          <w:b/>
        </w:rPr>
        <w:t>2026-09-25 AOE</w:t>
      </w:r>
      <w:r>
        <w:rPr>
          <w:rFonts w:ascii="Calibri" w:hAnsi="Calibri" w:eastAsia="PingFang SC"/>
        </w:rPr>
        <w:t>；官网此前显示过更早日期，因此本项目以后以每次构建时抓取的官方页面为准。以 2026-08-14 计算，距离摘要约 35 天、全文约 42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leaf、样本、实现细节和写法。若此后仍在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3"/>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3"/>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3"/>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3"/>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2"/>
      </w:pPr>
      <w:r>
        <w:t>17.10 从 2026-08-14 到投稿的逐周执行表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时间</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本周唯一主目标</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必须完成的可检查交付物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周末停止/收缩条件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W0：8/14–8/16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冻结论文问题和可运行资源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 50-task/25-persona/250-pair 导入；501 候选用户对；GPT-5 smoke；选定 3 个 vertical-slice family；两名人评排期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无官方 key 时不等待：保留 blocked 记录并先做人评/数据；若 paired-user 构念无法说明，8/17 换题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W1：8/17–8/23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 3 个 family 做完整</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family 的 evidence pack、A/B ledger、四类 contract、rubric leaves、matched/swapped/general/over reference；盲化人评表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2/3 family 的人类 matched &gt; swapped 且 critical node 可独立判断；否则重写或淘汰 family</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W2：8/24–8/30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完成端到端最小系统实验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family × 2 users 的 P0/P1/P2；P4 只跑 1 个 stateful anchor；至少两条可比 agent 管线；GPT-5/PDR-style 与 DeepAlign 双评分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若 DeepAlign 不造成成功判定变化，也不更贴近人评，降级为 judge-validity 短文；不继续盲目扩数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W3：8/31–9/6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扩到核心样本并冻结数据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 PDR 501 对中审出 12–16 个核心 family（最多 20）；补 0–4 个志愿者任务只填覆盖缺口；生成全部 P0/P1/P2，P4 仅 2–4 anchors</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family 数不足时减少系统和 P4，不用同一 family 的更多 seed 冒充样本量</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W4：9/7–9/13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完成评分、统计和论文骨架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两名盲化人评校准子集；family-blocked permutation、family bootstrap；主表、失败地图、PDR 重分类表；9 页论文初稿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9/13 后不增加新主指标、新范式或新领域；只允许补预注册缺口</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W5：9/14–9/18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冻结结果并提交真实摘要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结果锁、主图、Table 1/2、匿名代码与数据卡、伦理/AI-use/reproducibility statements、9 页主文；</w:t>
            </w:r>
            <w:r>
              <w:rPr>
                <w:rFonts w:ascii="Calibri" w:hAnsi="Calibri" w:eastAsia="PingFang SC"/>
                <w:b/>
                <w:sz w:val="18"/>
              </w:rPr>
              <w:t>9/18 AOE 提交摘要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摘要必须反映真实完成结果；禁止 placeholder，缺结果就收窄 claim</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W6：9/19–9/25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终稿与复现包</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独立复跑、引用审计、泄漏/匿名检查、appendix、supplement、最终 PDF；</w:t>
            </w:r>
            <w:r>
              <w:rPr>
                <w:rFonts w:ascii="Calibri" w:hAnsi="Calibri" w:eastAsia="PingFang SC"/>
                <w:b/>
                <w:sz w:val="18"/>
              </w:rPr>
              <w:t>9/25 AOE 投稿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不再启动新实验，除非修复会推翻主结论的错误</w:t>
            </w:r>
          </w:p>
        </w:tc>
      </w:tr>
    </w:tbl>
    <w:p>
      <w:pPr>
        <w:spacing w:after="40"/>
      </w:pPr>
    </w:p>
    <w:p>
      <w:r>
        <w:rPr>
          <w:rFonts w:ascii="Calibri" w:hAnsi="Calibri" w:eastAsia="PingFang SC"/>
        </w:rPr>
        <w:t xml:space="preserve">资源控制上，不能把 50 tasks × 5 users × 4 paradigms × 多系统全部跑成笛卡尔积。主统计单位是 task family：资源池全量保留，主实验只选约 12–20 个 family、每个两位用户；P0/P1/P2 为核心，P4 只做少量 stateful anchors。若导师提供官方 OpenAI key，runner 已支持固定 </w:t>
      </w:r>
      <w:r>
        <w:rPr>
          <w:rFonts w:ascii="Courier New" w:hAnsi="Courier New" w:eastAsia="PingFang SC"/>
          <w:color w:val="6A3E00"/>
          <w:sz w:val="20"/>
        </w:rPr>
        <w:t>gpt-5-2025-08-07</w:t>
      </w:r>
      <w:r>
        <w:rPr>
          <w:rFonts w:ascii="Calibri" w:hAnsi="Calibri" w:eastAsia="PingFang SC"/>
        </w:rPr>
        <w:t xml:space="preserve"> 从 smoke 续跑；建议先设置不超过 100 美元的项目预算上限，smoke 成功后再放行 criteria 与三重复评分。</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91">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2">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3">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4">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5">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6">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87">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88">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89">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92">
        <w:r>
          <w:rPr>
            <w:rFonts w:ascii="Calibri" w:hAnsi="Calibri" w:eastAsia="PingFang SC"/>
            <w:color w:val="2E74B5"/>
            <w:u w:val="single"/>
            <w:sz w:val="16"/>
            <w:szCs w:val="16"/>
          </w:rPr>
          <w:t>https://arxiv.org/abs/2601.17087</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2026-8-14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2026-8-14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2026-8-14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github.com/OPPO-PersonalAI/PersonalizedDeepResearchBench" TargetMode="External"/><Relationship Id="rId82" Type="http://schemas.openxmlformats.org/officeDocument/2006/relationships/hyperlink" Target="https://arxiv.org/abs/2507.21071" TargetMode="External"/><Relationship Id="rId83" Type="http://schemas.openxmlformats.org/officeDocument/2006/relationships/hyperlink" Target="https://openreview.net/pdf/c2a76eb44300a738cbd7cb95f5bc04df621f4d25.pdf" TargetMode="External"/><Relationship Id="rId84" Type="http://schemas.openxmlformats.org/officeDocument/2006/relationships/hyperlink" Target="https://openreview.net/pdf?id=oKn9c6ytLx" TargetMode="External"/><Relationship Id="rId85" Type="http://schemas.openxmlformats.org/officeDocument/2006/relationships/hyperlink" Target="https://arxiv.org/abs/2510.21652" TargetMode="External"/><Relationship Id="rId86" Type="http://schemas.openxmlformats.org/officeDocument/2006/relationships/hyperlink" Target="https://arxiv.org/abs/2505.21936" TargetMode="External"/><Relationship Id="rId87" Type="http://schemas.openxmlformats.org/officeDocument/2006/relationships/hyperlink" Target="https://media.iclr.cc/Conferences/ICLR2024/ICLR2024-Fact_Sheet.pdf" TargetMode="External"/><Relationship Id="rId88" Type="http://schemas.openxmlformats.org/officeDocument/2006/relationships/hyperlink" Target="https://media.iclr.cc/Conferences/ICLR2026/ICLR2026_Fact_Sheet.pdf" TargetMode="External"/><Relationship Id="rId89" Type="http://schemas.openxmlformats.org/officeDocument/2006/relationships/hyperlink" Target="https://arxiv.org/abs/2510.18560" TargetMode="External"/><Relationship Id="rId90" Type="http://schemas.openxmlformats.org/officeDocument/2006/relationships/hyperlink" Target="https://iclr.cc/Conferences/2027/AuthorGuidelines" TargetMode="External"/><Relationship Id="rId91" Type="http://schemas.openxmlformats.org/officeDocument/2006/relationships/hyperlink" Target="https://openreview.net/pdf?id=zAdUB0aCTQ" TargetMode="External"/><Relationship Id="rId92"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