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right="24"/>
        <w:spacing w:before="90" w:line="217" w:lineRule="auto"/>
        <w:jc w:val="righ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16"/>
          <w:szCs w:val="16"/>
          <w:u w:val="single" w:color="auto"/>
          <w:color w:val="231F20"/>
          <w:spacing w:val="-3"/>
        </w:rPr>
        <w:t>中国现代药物应用2023年8月第17卷第16期  Chin</w:t>
      </w:r>
      <w:r>
        <w:rPr>
          <w:sz w:val="16"/>
          <w:szCs w:val="16"/>
          <w:u w:val="single" w:color="auto"/>
          <w:color w:val="231F20"/>
          <w:spacing w:val="-40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J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Mod</w:t>
      </w:r>
      <w:r>
        <w:rPr>
          <w:sz w:val="16"/>
          <w:szCs w:val="16"/>
          <w:u w:val="single" w:color="auto"/>
          <w:color w:val="231F20"/>
          <w:spacing w:val="-35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Drug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Appl,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Aug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2023,</w:t>
      </w:r>
      <w:r>
        <w:rPr>
          <w:sz w:val="16"/>
          <w:szCs w:val="16"/>
          <w:u w:val="single" w:color="auto"/>
          <w:color w:val="231F20"/>
          <w:spacing w:val="-37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Vol.</w:t>
      </w:r>
      <w:r>
        <w:rPr>
          <w:sz w:val="16"/>
          <w:szCs w:val="16"/>
          <w:u w:val="single" w:color="auto"/>
          <w:color w:val="231F20"/>
          <w:spacing w:val="-2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17,</w:t>
      </w:r>
      <w:r>
        <w:rPr>
          <w:sz w:val="16"/>
          <w:szCs w:val="16"/>
          <w:u w:val="single" w:color="auto"/>
          <w:color w:val="231F20"/>
          <w:spacing w:val="-34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No.</w:t>
      </w:r>
      <w:r>
        <w:rPr>
          <w:sz w:val="16"/>
          <w:szCs w:val="16"/>
          <w:u w:val="single" w:color="auto"/>
          <w:color w:val="231F20"/>
          <w:spacing w:val="-23"/>
        </w:rPr>
        <w:t xml:space="preserve"> </w:t>
      </w:r>
      <w:r>
        <w:rPr>
          <w:sz w:val="16"/>
          <w:szCs w:val="16"/>
          <w:u w:val="single" w:color="auto"/>
          <w:color w:val="231F20"/>
          <w:spacing w:val="-3"/>
        </w:rPr>
        <w:t>16</w:t>
      </w:r>
      <w:r>
        <w:rPr>
          <w:sz w:val="16"/>
          <w:szCs w:val="16"/>
          <w:color w:val="231F20"/>
          <w:spacing w:val="-3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>·57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  <w:position w:val="-1"/>
        </w:rPr>
        <w:t>·</w:t>
      </w:r>
    </w:p>
    <w:p>
      <w:pPr>
        <w:ind w:left="916" w:right="3245" w:hanging="13"/>
        <w:spacing w:before="156" w:line="230" w:lineRule="auto"/>
        <w:outlineLvl w:val="0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color w:val="231F20"/>
          <w:spacing w:val="6"/>
        </w:rPr>
        <w:t>保留卵巢手术治疗卵巢囊肿蒂扭转的效果和</w:t>
      </w:r>
      <w:r>
        <w:rPr>
          <w:rFonts w:ascii="SimHei" w:hAnsi="SimHei" w:eastAsia="SimHei" w:cs="SimHei"/>
          <w:sz w:val="34"/>
          <w:szCs w:val="34"/>
          <w:color w:val="231F20"/>
        </w:rPr>
        <w:t xml:space="preserve"> </w:t>
      </w:r>
      <w:r>
        <w:rPr>
          <w:rFonts w:ascii="SimHei" w:hAnsi="SimHei" w:eastAsia="SimHei" w:cs="SimHei"/>
          <w:sz w:val="34"/>
          <w:szCs w:val="34"/>
          <w:color w:val="231F20"/>
          <w:spacing w:val="1"/>
        </w:rPr>
        <w:t>安全性分析</w:t>
      </w:r>
    </w:p>
    <w:p>
      <w:pPr>
        <w:pStyle w:val="BodyText"/>
        <w:ind w:left="912"/>
        <w:spacing w:before="249" w:line="235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4"/>
        </w:rPr>
        <w:t>温婷婷</w:t>
      </w:r>
    </w:p>
    <w:p>
      <w:pPr>
        <w:pStyle w:val="BodyText"/>
        <w:ind w:left="898" w:right="1705" w:firstLine="267"/>
        <w:spacing w:before="312" w:line="257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2"/>
        </w:rPr>
        <w:t>【摘要】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目的   </w:t>
      </w:r>
      <w:r>
        <w:rPr>
          <w:color w:val="231F20"/>
          <w:spacing w:val="2"/>
        </w:rPr>
        <w:t>探讨保留卵巢手术治疗卵巢囊肿</w:t>
      </w:r>
      <w:r>
        <w:rPr>
          <w:color w:val="231F20"/>
          <w:spacing w:val="1"/>
        </w:rPr>
        <w:t>蒂扭转的效果和安全性。</w:t>
      </w:r>
      <w:r>
        <w:rPr>
          <w:rFonts w:ascii="Microsoft YaHei" w:hAnsi="Microsoft YaHei" w:eastAsia="Microsoft YaHei" w:cs="Microsoft YaHei"/>
          <w:color w:val="231F20"/>
          <w:spacing w:val="1"/>
        </w:rPr>
        <w:t>方法   </w:t>
      </w:r>
      <w:r>
        <w:rPr>
          <w:color w:val="231F20"/>
          <w:spacing w:val="1"/>
        </w:rPr>
        <w:t>98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例卵巢囊肿蒂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扭转患者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通过计算机随机数字表法分为参照组及观察组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每组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49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"/>
        </w:rPr>
        <w:t>例。参照组采用卵巢切除术进行治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疗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,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7"/>
        </w:rPr>
        <w:t>观察组采用保留卵巢手术进行治疗。比较两组患者的治疗效果、手术指标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7"/>
        </w:rPr>
        <w:t>(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7"/>
        </w:rPr>
        <w:t>手术时间、术中出血量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)、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术后并发症发生情况。</w:t>
      </w:r>
      <w:r>
        <w:rPr>
          <w:rFonts w:ascii="Microsoft YaHei" w:hAnsi="Microsoft YaHei" w:eastAsia="Microsoft YaHei" w:cs="Microsoft YaHei"/>
          <w:color w:val="231F20"/>
          <w:spacing w:val="1"/>
        </w:rPr>
        <w:t>结果   </w:t>
      </w:r>
      <w:r>
        <w:rPr>
          <w:color w:val="231F20"/>
          <w:spacing w:val="1"/>
        </w:rPr>
        <w:t>观察组患者的</w:t>
      </w:r>
      <w:r>
        <w:rPr>
          <w:color w:val="231F20"/>
        </w:rPr>
        <w:t>治疗总有效率</w:t>
      </w:r>
      <w:r>
        <w:rPr>
          <w:color w:val="231F20"/>
          <w:spacing w:val="-40"/>
        </w:rPr>
        <w:t xml:space="preserve"> </w:t>
      </w:r>
      <w:r>
        <w:rPr>
          <w:color w:val="231F20"/>
        </w:rPr>
        <w:t>91.84%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高于参照组的</w:t>
      </w:r>
      <w:r>
        <w:rPr>
          <w:color w:val="231F20"/>
          <w:spacing w:val="-41"/>
        </w:rPr>
        <w:t xml:space="preserve"> </w:t>
      </w:r>
      <w:r>
        <w:rPr>
          <w:color w:val="231F20"/>
        </w:rPr>
        <w:t>75.51%,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差异具有统计  </w:t>
      </w:r>
      <w:r>
        <w:rPr>
          <w:color w:val="231F20"/>
          <w:spacing w:val="-7"/>
        </w:rPr>
        <w:t>学意义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7"/>
        </w:rPr>
        <w:t>(</w:t>
      </w:r>
      <w:r>
        <w:rPr>
          <w:rFonts w:ascii="Times New Roman" w:hAnsi="Times New Roman" w:eastAsia="Times New Roman" w:cs="Times New Roman"/>
          <w:color w:val="231F20"/>
          <w:spacing w:val="-7"/>
        </w:rPr>
        <w:t>P&lt;</w:t>
      </w:r>
      <w:r>
        <w:rPr>
          <w:color w:val="231F20"/>
          <w:spacing w:val="-7"/>
        </w:rPr>
        <w:t>0.05)。观察组患者的手术时间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(82.35±20.04)min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7"/>
        </w:rPr>
        <w:t>短于参照组的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7"/>
        </w:rPr>
        <w:t>(91.94±22.48)mi</w:t>
      </w:r>
      <w:r>
        <w:rPr>
          <w:color w:val="231F20"/>
          <w:spacing w:val="-8"/>
        </w:rPr>
        <w:t>n,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术中出血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8"/>
        </w:rPr>
        <w:t>(30.85±7.49)ml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少于参照组的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8"/>
        </w:rPr>
        <w:t>(41.27±6.16)ml,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8"/>
        </w:rPr>
        <w:t>差异具有统计学意义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(</w:t>
      </w:r>
      <w:r>
        <w:rPr>
          <w:rFonts w:ascii="Times New Roman" w:hAnsi="Times New Roman" w:eastAsia="Times New Roman" w:cs="Times New Roman"/>
          <w:color w:val="231F20"/>
          <w:spacing w:val="-8"/>
        </w:rPr>
        <w:t>P&lt;</w:t>
      </w:r>
      <w:r>
        <w:rPr>
          <w:color w:val="231F20"/>
          <w:spacing w:val="-8"/>
        </w:rPr>
        <w:t>0.05)。两组患者的术后切口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感染、肺栓塞、体温升高发生率比较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差异无统计学意义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3"/>
        </w:rPr>
        <w:t>(</w:t>
      </w:r>
      <w:r>
        <w:rPr>
          <w:rFonts w:ascii="Times New Roman" w:hAnsi="Times New Roman" w:eastAsia="Times New Roman" w:cs="Times New Roman"/>
          <w:color w:val="231F20"/>
          <w:spacing w:val="-3"/>
        </w:rPr>
        <w:t>P&gt;</w:t>
      </w:r>
      <w:r>
        <w:rPr>
          <w:color w:val="231F20"/>
          <w:spacing w:val="-3"/>
        </w:rPr>
        <w:t>0.05)。</w:t>
      </w:r>
      <w:r>
        <w:rPr>
          <w:rFonts w:ascii="Microsoft YaHei" w:hAnsi="Microsoft YaHei" w:eastAsia="Microsoft YaHei" w:cs="Microsoft YaHei"/>
          <w:color w:val="231F20"/>
          <w:spacing w:val="-3"/>
        </w:rPr>
        <w:t>结论   </w:t>
      </w:r>
      <w:r>
        <w:rPr>
          <w:color w:val="231F20"/>
          <w:spacing w:val="-3"/>
        </w:rPr>
        <w:t>保留卵巢手术用于卵巢囊肿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蒂扭转患者的临床治疗中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3"/>
        </w:rPr>
        <w:t>,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不仅具有较为良好</w:t>
      </w:r>
      <w:r>
        <w:rPr>
          <w:color w:val="231F20"/>
          <w:spacing w:val="-4"/>
        </w:rPr>
        <w:t>的手术治疗效果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4"/>
        </w:rPr>
        <w:t>, 同时还具有较高的手术治疗安全性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4"/>
        </w:rPr>
        <w:t>,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值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得在临床治疗中进一步推广。</w:t>
      </w:r>
    </w:p>
    <w:p>
      <w:pPr>
        <w:pStyle w:val="BodyText"/>
        <w:ind w:left="1165"/>
        <w:spacing w:before="24" w:line="211" w:lineRule="auto"/>
        <w:rPr/>
      </w:pPr>
      <w:r>
        <w:rPr>
          <w:rFonts w:ascii="Microsoft YaHei" w:hAnsi="Microsoft YaHei" w:eastAsia="Microsoft YaHei" w:cs="Microsoft YaHei"/>
          <w:color w:val="231F20"/>
          <w:spacing w:val="-6"/>
        </w:rPr>
        <w:t>【关键词】</w:t>
      </w:r>
      <w:r>
        <w:rPr>
          <w:rFonts w:ascii="Microsoft YaHei" w:hAnsi="Microsoft YaHei" w:eastAsia="Microsoft YaHei" w:cs="Microsoft YaHei"/>
          <w:color w:val="231F20"/>
          <w:spacing w:val="55"/>
        </w:rPr>
        <w:t xml:space="preserve"> </w:t>
      </w:r>
      <w:r>
        <w:rPr>
          <w:color w:val="231F20"/>
          <w:spacing w:val="-6"/>
        </w:rPr>
        <w:t>保留卵巢手术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；卵巢囊肿蒂扭转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；治疗效果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；安全性</w:t>
      </w:r>
    </w:p>
    <w:p>
      <w:pPr>
        <w:pStyle w:val="BodyText"/>
        <w:ind w:left="1271"/>
        <w:spacing w:before="14" w:line="242" w:lineRule="auto"/>
        <w:rPr/>
      </w:pPr>
      <w:r>
        <w:rPr>
          <w:color w:val="231F20"/>
          <w:spacing w:val="-12"/>
        </w:rPr>
        <w:t>DOI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2"/>
        </w:rPr>
        <w:t>：10.14164/j.cnki.cn11-5</w:t>
      </w:r>
      <w:r>
        <w:rPr>
          <w:color w:val="231F20"/>
          <w:spacing w:val="-13"/>
        </w:rPr>
        <w:t>581/r.2023.16.015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left="909" w:right="1775" w:hanging="12"/>
        <w:spacing w:before="52" w:line="24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ovarian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preservation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ovarian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torsion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WEN Ting-ting. Anshan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'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ildren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'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s Hospital, Anshan 114000,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>China</w:t>
      </w:r>
    </w:p>
    <w:p>
      <w:pPr>
        <w:pStyle w:val="BodyText"/>
        <w:ind w:left="897" w:right="1767" w:firstLine="268"/>
        <w:spacing w:before="11" w:line="28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-13"/>
        </w:rPr>
        <w:t>【</w:t>
      </w:r>
      <w:r>
        <w:rPr>
          <w:rFonts w:ascii="Times New Roman" w:hAnsi="Times New Roman" w:eastAsia="Times New Roman" w:cs="Times New Roman"/>
          <w:color w:val="231F20"/>
          <w:spacing w:val="-13"/>
        </w:rPr>
        <w:t>Abstract</w:t>
      </w:r>
      <w:r>
        <w:rPr>
          <w:rFonts w:ascii="Microsoft YaHei" w:hAnsi="Microsoft YaHei" w:eastAsia="Microsoft YaHei" w:cs="Microsoft YaHei"/>
          <w:color w:val="231F20"/>
          <w:spacing w:val="-13"/>
        </w:rPr>
        <w:t>】  </w:t>
      </w:r>
      <w:r>
        <w:rPr>
          <w:rFonts w:ascii="Times New Roman" w:hAnsi="Times New Roman" w:eastAsia="Times New Roman" w:cs="Times New Roman"/>
          <w:color w:val="231F20"/>
          <w:spacing w:val="-13"/>
        </w:rPr>
        <w:t>Objective   </w:t>
      </w:r>
      <w:r>
        <w:rPr>
          <w:color w:val="231F20"/>
          <w:spacing w:val="-13"/>
        </w:rPr>
        <w:t>To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3"/>
        </w:rPr>
        <w:t>discuss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3"/>
        </w:rPr>
        <w:t>effect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safety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13"/>
        </w:rPr>
        <w:t>ovarian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3"/>
        </w:rPr>
        <w:t>preservation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3"/>
        </w:rPr>
        <w:t>surgery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3"/>
        </w:rPr>
        <w:t>for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3"/>
        </w:rPr>
        <w:t>treatment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ovarian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6"/>
        </w:rPr>
        <w:t>torsion.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6"/>
        </w:rPr>
        <w:t>Methods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  </w:t>
      </w:r>
      <w:r>
        <w:rPr>
          <w:color w:val="231F20"/>
          <w:spacing w:val="-16"/>
        </w:rPr>
        <w:t>A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total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6"/>
        </w:rPr>
        <w:t>98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cases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16"/>
        </w:rPr>
        <w:t>ovarian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6"/>
        </w:rPr>
        <w:t>torsion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6"/>
        </w:rPr>
        <w:t>were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divided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into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reference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and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observation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group according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to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computer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random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numerical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table,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1"/>
        </w:rPr>
        <w:t>49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cases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in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each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gro</w:t>
      </w:r>
      <w:r>
        <w:rPr>
          <w:color w:val="231F20"/>
          <w:spacing w:val="-12"/>
        </w:rPr>
        <w:t>up.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2"/>
        </w:rPr>
        <w:t>reference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2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treated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3"/>
        </w:rPr>
        <w:t>with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oophorectomy,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3"/>
        </w:rPr>
        <w:t>observatio</w:t>
      </w:r>
      <w:r>
        <w:rPr>
          <w:color w:val="231F20"/>
          <w:spacing w:val="-14"/>
        </w:rPr>
        <w:t>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group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4"/>
        </w:rPr>
        <w:t>was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treated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ovarian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preservation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surgery.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therapeutic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effect,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7"/>
        </w:rPr>
        <w:t>surgical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7"/>
        </w:rPr>
        <w:t>ind</w:t>
      </w:r>
      <w:r>
        <w:rPr>
          <w:color w:val="231F20"/>
          <w:spacing w:val="-18"/>
        </w:rPr>
        <w:t>exes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8"/>
        </w:rPr>
        <w:t>(operative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time,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intraoperative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8"/>
        </w:rPr>
        <w:t>blood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loss)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postoperative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complications</w:t>
      </w:r>
      <w:r>
        <w:rPr>
          <w:color w:val="231F20"/>
        </w:rPr>
        <w:t xml:space="preserve"> </w:t>
      </w:r>
      <w:r>
        <w:rPr>
          <w:color w:val="231F20"/>
          <w:spacing w:val="-12"/>
        </w:rPr>
        <w:t>were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compared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2"/>
        </w:rPr>
        <w:t>between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the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2"/>
        </w:rPr>
        <w:t>two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2"/>
        </w:rPr>
        <w:t>groups.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</w:rPr>
        <w:t>Re</w:t>
      </w:r>
      <w:r>
        <w:rPr>
          <w:rFonts w:ascii="Times New Roman" w:hAnsi="Times New Roman" w:eastAsia="Times New Roman" w:cs="Times New Roman"/>
          <w:color w:val="231F20"/>
          <w:spacing w:val="-13"/>
        </w:rPr>
        <w:t>sults    </w:t>
      </w:r>
      <w:r>
        <w:rPr>
          <w:color w:val="231F20"/>
          <w:spacing w:val="-13"/>
        </w:rPr>
        <w:t>The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3"/>
        </w:rPr>
        <w:t>total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effective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rate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3"/>
        </w:rPr>
        <w:t>of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3"/>
        </w:rPr>
        <w:t>91.84%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3"/>
        </w:rPr>
        <w:t>in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observation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3"/>
        </w:rPr>
        <w:t>group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-13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higher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7"/>
        </w:rPr>
        <w:t>than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7"/>
        </w:rPr>
        <w:t>that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75.51%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8"/>
        </w:rPr>
        <w:t>reference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group,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8"/>
        </w:rPr>
        <w:t>and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difference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8"/>
        </w:rPr>
        <w:t>was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statistically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8"/>
        </w:rPr>
        <w:t>significant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8"/>
        </w:rPr>
        <w:t>(</w:t>
      </w:r>
      <w:r>
        <w:rPr>
          <w:rFonts w:ascii="Times New Roman" w:hAnsi="Times New Roman" w:eastAsia="Times New Roman" w:cs="Times New Roman"/>
          <w:color w:val="231F20"/>
          <w:spacing w:val="-18"/>
        </w:rPr>
        <w:t>P&lt;</w:t>
      </w:r>
      <w:r>
        <w:rPr>
          <w:color w:val="231F20"/>
          <w:spacing w:val="-18"/>
        </w:rPr>
        <w:t>0.05).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8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operative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6"/>
        </w:rPr>
        <w:t>time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(82.35±20.04)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min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observation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6"/>
        </w:rPr>
        <w:t>group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6"/>
        </w:rPr>
        <w:t>was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shorter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than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that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of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(91.94±22.48)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min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6"/>
        </w:rPr>
        <w:t>in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1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7"/>
        </w:rPr>
        <w:t>reference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7"/>
        </w:rPr>
        <w:t>group,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and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the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7"/>
        </w:rPr>
        <w:t>intraoperative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blood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loss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17"/>
        </w:rPr>
        <w:t>(30.85±7.49)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ml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was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shorter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7"/>
        </w:rPr>
        <w:t>than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7"/>
        </w:rPr>
        <w:t>that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7"/>
        </w:rPr>
        <w:t>of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7"/>
        </w:rPr>
        <w:t>(41.27±6.16)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ml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7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20"/>
        </w:rPr>
        <w:t>reference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</w:rPr>
        <w:t>group.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0"/>
        </w:rPr>
        <w:t>The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0"/>
        </w:rPr>
        <w:t>differences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0"/>
        </w:rPr>
        <w:t>were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</w:rPr>
        <w:t>statistically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</w:rPr>
        <w:t>significant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20"/>
        </w:rPr>
        <w:t>(</w:t>
      </w:r>
      <w:r>
        <w:rPr>
          <w:rFonts w:ascii="Times New Roman" w:hAnsi="Times New Roman" w:eastAsia="Times New Roman" w:cs="Times New Roman"/>
          <w:color w:val="231F20"/>
          <w:spacing w:val="-20"/>
        </w:rPr>
        <w:t>P&lt;</w:t>
      </w:r>
      <w:r>
        <w:rPr>
          <w:color w:val="231F20"/>
          <w:spacing w:val="-20"/>
        </w:rPr>
        <w:t>0.05).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20"/>
        </w:rPr>
        <w:t>There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0"/>
        </w:rPr>
        <w:t>was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20"/>
        </w:rPr>
        <w:t>no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0"/>
        </w:rPr>
        <w:t>statis</w:t>
      </w:r>
      <w:r>
        <w:rPr>
          <w:color w:val="231F20"/>
          <w:spacing w:val="-21"/>
        </w:rPr>
        <w:t>tically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21"/>
        </w:rPr>
        <w:t>significant</w:t>
      </w:r>
      <w:r>
        <w:rPr>
          <w:color w:val="231F20"/>
        </w:rPr>
        <w:t xml:space="preserve"> </w:t>
      </w:r>
      <w:r>
        <w:rPr>
          <w:color w:val="231F20"/>
          <w:spacing w:val="-15"/>
        </w:rPr>
        <w:t>difference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incidence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5"/>
        </w:rPr>
        <w:t>postoperative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incision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5"/>
        </w:rPr>
        <w:t>infection,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5"/>
        </w:rPr>
        <w:t>pulmonary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embolism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5"/>
        </w:rPr>
        <w:t>and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body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5"/>
        </w:rPr>
        <w:t>temperature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5"/>
        </w:rPr>
        <w:t>ri</w:t>
      </w:r>
      <w:r>
        <w:rPr>
          <w:color w:val="231F20"/>
          <w:spacing w:val="-16"/>
        </w:rPr>
        <w:t>se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between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4"/>
        </w:rPr>
        <w:t>two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4"/>
        </w:rPr>
        <w:t>groups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4"/>
        </w:rPr>
        <w:t>(</w:t>
      </w:r>
      <w:r>
        <w:rPr>
          <w:rFonts w:ascii="Times New Roman" w:hAnsi="Times New Roman" w:eastAsia="Times New Roman" w:cs="Times New Roman"/>
          <w:color w:val="231F20"/>
          <w:spacing w:val="-14"/>
        </w:rPr>
        <w:t>P&gt;</w:t>
      </w:r>
      <w:r>
        <w:rPr>
          <w:color w:val="231F20"/>
          <w:spacing w:val="-14"/>
        </w:rPr>
        <w:t>0.05).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4"/>
        </w:rPr>
        <w:t>Co</w:t>
      </w:r>
      <w:r>
        <w:rPr>
          <w:rFonts w:ascii="Times New Roman" w:hAnsi="Times New Roman" w:eastAsia="Times New Roman" w:cs="Times New Roman"/>
          <w:color w:val="231F20"/>
          <w:spacing w:val="-15"/>
        </w:rPr>
        <w:t>nclusion    </w:t>
      </w:r>
      <w:r>
        <w:rPr>
          <w:color w:val="231F20"/>
          <w:spacing w:val="-15"/>
        </w:rPr>
        <w:t>Ovarian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5"/>
        </w:rPr>
        <w:t>preservation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5"/>
        </w:rPr>
        <w:t>surgery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in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15"/>
        </w:rPr>
        <w:t>the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clinical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15"/>
        </w:rPr>
        <w:t>treatment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5"/>
        </w:rPr>
        <w:t>of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5"/>
        </w:rPr>
        <w:t>patients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with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ovarian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8"/>
        </w:rPr>
        <w:t>torsion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not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8"/>
        </w:rPr>
        <w:t>only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has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good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8"/>
        </w:rPr>
        <w:t>su</w:t>
      </w:r>
      <w:r>
        <w:rPr>
          <w:color w:val="231F20"/>
          <w:spacing w:val="-19"/>
        </w:rPr>
        <w:t>rgical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9"/>
        </w:rPr>
        <w:t>therapeutic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9"/>
        </w:rPr>
        <w:t>effect,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but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9"/>
        </w:rPr>
        <w:t>also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9"/>
        </w:rPr>
        <w:t>has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19"/>
        </w:rPr>
        <w:t>high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9"/>
        </w:rPr>
        <w:t>surgical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9"/>
        </w:rPr>
        <w:t>treatment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9"/>
        </w:rPr>
        <w:t>safety,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9"/>
        </w:rPr>
        <w:t>which</w:t>
      </w:r>
      <w:r>
        <w:rPr>
          <w:color w:val="231F20"/>
        </w:rPr>
        <w:t xml:space="preserve"> </w:t>
      </w:r>
      <w:r>
        <w:rPr>
          <w:color w:val="231F20"/>
          <w:spacing w:val="-18"/>
        </w:rPr>
        <w:t>is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8"/>
        </w:rPr>
        <w:t>worthy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of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18"/>
        </w:rPr>
        <w:t>further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8"/>
        </w:rPr>
        <w:t>promotion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in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8"/>
        </w:rPr>
        <w:t>c</w:t>
      </w:r>
      <w:r>
        <w:rPr>
          <w:color w:val="231F20"/>
          <w:spacing w:val="-19"/>
        </w:rPr>
        <w:t>linical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9"/>
        </w:rPr>
        <w:t>treatment.</w:t>
      </w:r>
    </w:p>
    <w:p>
      <w:pPr>
        <w:pStyle w:val="BodyText"/>
        <w:ind w:left="1165"/>
        <w:spacing w:line="199" w:lineRule="auto"/>
        <w:rPr/>
      </w:pPr>
      <w:r>
        <w:rPr>
          <w:rFonts w:ascii="Microsoft YaHei" w:hAnsi="Microsoft YaHei" w:eastAsia="Microsoft YaHei" w:cs="Microsoft YaHei"/>
          <w:color w:val="231F20"/>
          <w:spacing w:val="-15"/>
        </w:rPr>
        <w:t>【</w:t>
      </w:r>
      <w:r>
        <w:rPr>
          <w:rFonts w:ascii="Times New Roman" w:hAnsi="Times New Roman" w:eastAsia="Times New Roman" w:cs="Times New Roman"/>
          <w:color w:val="231F20"/>
          <w:spacing w:val="-15"/>
        </w:rPr>
        <w:t>Key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5"/>
        </w:rPr>
        <w:t>words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5"/>
        </w:rPr>
        <w:t>】</w:t>
      </w:r>
      <w:r>
        <w:rPr>
          <w:rFonts w:ascii="Microsoft YaHei" w:hAnsi="Microsoft YaHei" w:eastAsia="Microsoft YaHei" w:cs="Microsoft YaHei"/>
          <w:color w:val="231F20"/>
          <w:spacing w:val="26"/>
        </w:rPr>
        <w:t xml:space="preserve"> </w:t>
      </w:r>
      <w:r>
        <w:rPr>
          <w:color w:val="231F20"/>
          <w:spacing w:val="-15"/>
        </w:rPr>
        <w:t>Ovarian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5"/>
        </w:rPr>
        <w:t>preservation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5"/>
        </w:rPr>
        <w:t>surge</w:t>
      </w:r>
      <w:r>
        <w:rPr>
          <w:color w:val="231F20"/>
          <w:spacing w:val="-16"/>
        </w:rPr>
        <w:t>ry;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6"/>
        </w:rPr>
        <w:t>Ovarian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6"/>
        </w:rPr>
        <w:t>torsion;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16"/>
        </w:rPr>
        <w:t>Therapeutic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6"/>
        </w:rPr>
        <w:t>effect;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16"/>
        </w:rPr>
        <w:t>Safety</w:t>
      </w:r>
    </w:p>
    <w:p>
      <w:pPr>
        <w:spacing w:before="12"/>
        <w:rPr/>
      </w:pPr>
      <w:r/>
    </w:p>
    <w:p>
      <w:pPr>
        <w:sectPr>
          <w:headerReference w:type="default" r:id="rId1"/>
          <w:pgSz w:w="12246" w:h="17178"/>
          <w:pgMar w:top="400" w:right="1113" w:bottom="0" w:left="407" w:header="0" w:footer="0" w:gutter="0"/>
          <w:cols w:equalWidth="0" w:num="1">
            <w:col w:w="10724" w:space="0"/>
          </w:cols>
        </w:sectPr>
        <w:rPr/>
      </w:pPr>
    </w:p>
    <w:p>
      <w:pPr>
        <w:ind w:left="897" w:right="241" w:firstLine="427"/>
        <w:spacing w:before="46" w:line="21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卵巢囊肿蒂扭转在临床上属于常见的一种妇科急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腹症 , 该病的发生主要是由于患者供应卵巢囊肿的血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管发生了一定扭曲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进而致使发生卵巢囊肿缺血、缺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氧以及卵巢囊肿坏死等 , 从而导致患者发生较为剧烈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的腹痛感。据相关统计资料显示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大约有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1/10 的卵巢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囊肿患者可能会发生蒂扭转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而发生蒂扭转的卵巢囊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肿患者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可发生不同程度的恶心呕吐、排便困难以及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腹痛等临床症状 , 对患者的生活质量以及身心健康带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来严重影响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8"/>
        </w:rPr>
        <w:t>［1,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2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8"/>
        </w:rPr>
        <w:t>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。对于卵巢囊肿蒂扭转患者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以往临床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大多采用经卵巢切除术治疗 , 虽然具有一定治疗效果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但是卵巢切除后会导致其性激素分泌严重不足 , 进而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>
        <w:pict>
          <v:shape id="_x0000_s4" style="position:absolute;margin-left:45.0094pt;margin-top:7.98511pt;mso-position-vertical-relative:text;mso-position-horizontal-relative:text;width:70.9pt;height:0.45pt;z-index:251658240;" filled="false" strokecolor="#231F20" strokeweight="0.43pt" coordsize="1418,8" coordorigin="0,0" path="m0,4l1417,4e">
            <v:stroke joinstyle="miter" miterlimit="10"/>
          </v:shape>
        </w:pict>
      </w:r>
      <w:r/>
    </w:p>
    <w:p>
      <w:pPr>
        <w:pStyle w:val="BodyText"/>
        <w:ind w:left="1181"/>
        <w:spacing w:before="53" w:line="177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作者单位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-3"/>
        </w:rPr>
        <w:t>：114000  鞍山市妇儿医院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6" w:firstLine="3"/>
        <w:spacing w:before="43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导致其发生内分泌絮乱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不仅会影响卵泡的成熟以及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排出 , 严重的甚至可能会导致患者不孕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2"/>
          <w:position w:val="8"/>
        </w:rPr>
        <w:t>［3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,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13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。因此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进一步分析卵巢囊肿蒂扭转患者行保留卵巢手术的治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疗效果以及安全性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本次研究将以本院 2018 年 5 月 ~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2021 年 5 月期间确诊的卵巢囊肿蒂扭转患者 98 例为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例展开研究 , 现将研究报告如下。</w:t>
      </w:r>
    </w:p>
    <w:p>
      <w:pPr>
        <w:ind w:left="10"/>
        <w:spacing w:before="1" w:line="202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资料与方法</w:t>
      </w:r>
    </w:p>
    <w:p>
      <w:pPr>
        <w:pStyle w:val="BodyText"/>
        <w:ind w:firstLine="10"/>
        <w:spacing w:before="23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8"/>
        </w:rPr>
        <w:t>1    </w:t>
      </w:r>
      <w:r>
        <w:rPr>
          <w:sz w:val="20"/>
          <w:szCs w:val="20"/>
          <w:color w:val="231F20"/>
          <w:spacing w:val="-8"/>
        </w:rPr>
        <w:t>一般资料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研究对象为本院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2018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~2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5 月期间确诊的卵巢囊肿蒂扭转患者 98 例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通过计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算机随机数字表法分为参照组及观察组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每组 49 例。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参 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平 均 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龄 (35.24±2.68) 岁 ,  平 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肿 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径</w:t>
      </w:r>
    </w:p>
    <w:p>
      <w:pPr>
        <w:spacing w:line="214" w:lineRule="auto"/>
        <w:sectPr>
          <w:type w:val="continuous"/>
          <w:pgSz w:w="12246" w:h="17178"/>
          <w:pgMar w:top="400" w:right="1113" w:bottom="0" w:left="407" w:header="0" w:footer="0" w:gutter="0"/>
          <w:cols w:equalWidth="0" w:num="2">
            <w:col w:w="5845" w:space="100"/>
            <w:col w:w="478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2"/>
          <w:pgSz w:w="12246" w:h="17178"/>
          <w:pgMar w:top="1542" w:right="1223" w:bottom="0" w:left="407" w:header="1219" w:footer="0" w:gutter="0"/>
          <w:cols w:equalWidth="0" w:num="1">
            <w:col w:w="10614" w:space="0"/>
          </w:cols>
        </w:sectPr>
        <w:rPr/>
      </w:pPr>
    </w:p>
    <w:p>
      <w:pPr>
        <w:ind w:left="785" w:right="239" w:firstLine="6"/>
        <w:spacing w:before="47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(48.73±5.87)mm。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龄 (36.28±2.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65) 岁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均囊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径 (48.71±5.89)mm。两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料比较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差异无统计学意义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P&gt;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0.05),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具有可比性。研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究经过本院伦理委员会审核批准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患者均签署知情同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意书。</w:t>
      </w:r>
    </w:p>
    <w:p>
      <w:pPr>
        <w:pStyle w:val="BodyText"/>
        <w:ind w:left="795"/>
        <w:spacing w:before="10" w:line="210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1. 2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sz w:val="20"/>
          <w:szCs w:val="20"/>
          <w:color w:val="231F20"/>
          <w:spacing w:val="-3"/>
        </w:rPr>
        <w:t>方法</w:t>
      </w:r>
    </w:p>
    <w:p>
      <w:pPr>
        <w:pStyle w:val="BodyText"/>
        <w:ind w:left="785" w:right="239" w:firstLine="9"/>
        <w:spacing w:before="66"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4"/>
        </w:rPr>
        <w:t>1    </w:t>
      </w:r>
      <w:r>
        <w:rPr>
          <w:sz w:val="20"/>
          <w:szCs w:val="20"/>
          <w:color w:val="231F20"/>
          <w:spacing w:val="4"/>
        </w:rPr>
        <w:t>参照组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采用卵巢切除术进行治疗。于患者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下腹部正中线作一个长度大约为 7~12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cm 的纵行切口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对患者的腹部进行仔细探查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然后常规行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患侧卵巢切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除术治疗。</w:t>
      </w:r>
    </w:p>
    <w:p>
      <w:pPr>
        <w:pStyle w:val="BodyText"/>
        <w:ind w:left="783" w:right="238" w:firstLine="12"/>
        <w:spacing w:before="50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1. 2. 2    </w:t>
      </w:r>
      <w:r>
        <w:rPr>
          <w:sz w:val="20"/>
          <w:szCs w:val="20"/>
          <w:color w:val="231F20"/>
        </w:rPr>
        <w:t>观察组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采用保留卵巢手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术进行治疗。于患者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下腹部正中线作一个长度大约为 7~12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cm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的纵行切口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对患者的腹部进行仔细探查 , 维持附件扭转位置 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然后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小心将肿物提拉到对侧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常规纵向切开患侧骨盆漏斗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韧带表面腹膜 , 对卵巢静脉以及相关结缔组织等进行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锐性分离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可见卵巢动脉和卵巢静脉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对于扭转时间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较短的患者 , 可行复位术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时间较长者 , 则将卵巢静脉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提起 , 然后选择 7 号丝线于气团蒂根部上方 3 mm 处结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扎 , 对于已经扭转的部分 , 将其附件按相反方向进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行松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懈至复位。若患者输卵管在 30 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内颜色从黑紫色变为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粉红色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同时卵巢颜色在 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内颜色慢慢变为灰白色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并且表面有暗紫色斑点存在则代表复位成功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后即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可常规开展囊肿剥离术 , 将肿物取出进行活检 , 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后将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80"/>
        <w:spacing w:before="44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腹腔中的血借助负压吸引器吸除干净后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常规将伤口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缝合后即可关腹。</w:t>
      </w:r>
    </w:p>
    <w:p>
      <w:pPr>
        <w:pStyle w:val="BodyText"/>
        <w:ind w:left="3" w:firstLine="10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3    </w:t>
      </w:r>
      <w:r>
        <w:rPr>
          <w:sz w:val="20"/>
          <w:szCs w:val="20"/>
          <w:color w:val="231F20"/>
        </w:rPr>
        <w:t>观察指标及判定标准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①治疗效果 , 根据参考文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献［5］中的疗效判定标准对两组患者的治疗效果进行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评定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分为显效、有效以及无效。总有效率 =( 显效 +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有效 )/ 总例数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×100%。②手术指标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包括手术时间、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术中出血量。③术后并发症发生情况 , 包括切口感染、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肺栓塞、体温升高。</w:t>
      </w:r>
    </w:p>
    <w:p>
      <w:pPr>
        <w:pStyle w:val="BodyText"/>
        <w:ind w:right="3" w:firstLine="13"/>
        <w:spacing w:before="41" w:line="19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4    </w:t>
      </w:r>
      <w:r>
        <w:rPr>
          <w:sz w:val="20"/>
          <w:szCs w:val="20"/>
          <w:color w:val="231F20"/>
          <w:spacing w:val="-1"/>
        </w:rPr>
        <w:t>统计学方法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采用 SPSS22.0 统计学软件进行统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计分析。计量资料以均数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± 标准差 ( 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8"/>
        </w:rPr>
        <w:t>-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±</w:t>
      </w: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) 表示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采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用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5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检验 ；计数资料以率 (%) 表示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采用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i/>
          <w:iCs/>
          <w:color w:val="231F20"/>
          <w:spacing w:val="5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9"/>
        </w:rPr>
        <w:t>2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验。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0.05 表示差异具有统计学意义。</w:t>
      </w:r>
    </w:p>
    <w:p>
      <w:pPr>
        <w:ind w:left="4"/>
        <w:spacing w:line="20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4"/>
        </w:rPr>
        <w:t>2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" w:right="80"/>
        <w:spacing w:before="19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2.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1"/>
        </w:rPr>
        <w:t>1    </w:t>
      </w:r>
      <w:r>
        <w:rPr>
          <w:sz w:val="20"/>
          <w:szCs w:val="20"/>
          <w:color w:val="231F20"/>
          <w:spacing w:val="-1"/>
        </w:rPr>
        <w:t>两组患者的治疗效果比较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观察组患者的治疗总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有效率高于参照组 , 差异具有统计学意义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0.05)。见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1。</w:t>
      </w:r>
    </w:p>
    <w:p>
      <w:pPr>
        <w:pStyle w:val="BodyText"/>
        <w:ind w:left="5" w:right="80" w:hanging="1"/>
        <w:spacing w:before="10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2. 2    </w:t>
      </w:r>
      <w:r>
        <w:rPr>
          <w:sz w:val="20"/>
          <w:szCs w:val="20"/>
          <w:color w:val="231F20"/>
        </w:rPr>
        <w:t>两组患者的手术指标比较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观察组患者的手术时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间短于参照组 , 术中出血量少于参照组 ,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差异具有统计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6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0.05)。见表 2。</w:t>
      </w:r>
    </w:p>
    <w:p>
      <w:pPr>
        <w:pStyle w:val="BodyText"/>
        <w:ind w:left="5" w:right="79" w:hanging="1"/>
        <w:spacing w:before="16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</w:rPr>
        <w:t>2. 3    </w:t>
      </w:r>
      <w:r>
        <w:rPr>
          <w:sz w:val="20"/>
          <w:szCs w:val="20"/>
          <w:color w:val="231F20"/>
        </w:rPr>
        <w:t>两组患者的术后并发症发生情况比较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两组患者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的术后切口感染、肺栓塞、体温升高发生率比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较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差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异无统计学意义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0.05)。见表 3。</w:t>
      </w:r>
    </w:p>
    <w:p>
      <w:pPr>
        <w:spacing w:line="206" w:lineRule="auto"/>
        <w:sectPr>
          <w:type w:val="continuous"/>
          <w:pgSz w:w="12246" w:h="17178"/>
          <w:pgMar w:top="1542" w:right="1223" w:bottom="0" w:left="407" w:header="1219" w:footer="0" w:gutter="0"/>
          <w:cols w:equalWidth="0" w:num="2">
            <w:col w:w="5728" w:space="100"/>
            <w:col w:w="4787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pStyle w:val="BodyText"/>
        <w:ind w:left="4123"/>
        <w:spacing w:before="120" w:line="190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2"/>
        </w:rPr>
        <w:t>表 </w:t>
      </w:r>
      <w:r>
        <w:rPr>
          <w:rFonts w:ascii="Times New Roman" w:hAnsi="Times New Roman" w:eastAsia="Times New Roman" w:cs="Times New Roman"/>
          <w:color w:val="231F20"/>
          <w:spacing w:val="-2"/>
        </w:rPr>
        <w:t>1    </w:t>
      </w:r>
      <w:r>
        <w:rPr>
          <w:color w:val="231F20"/>
          <w:spacing w:val="-2"/>
        </w:rPr>
        <w:t>两组患者的治疗效果比较［n(%)］</w:t>
      </w:r>
    </w:p>
    <w:tbl>
      <w:tblPr>
        <w:tblStyle w:val="TableNormal"/>
        <w:tblW w:w="9751" w:type="dxa"/>
        <w:tblInd w:w="7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64"/>
        <w:gridCol w:w="1516"/>
        <w:gridCol w:w="1701"/>
        <w:gridCol w:w="1625"/>
        <w:gridCol w:w="1617"/>
        <w:gridCol w:w="1628"/>
      </w:tblGrid>
      <w:tr>
        <w:trPr>
          <w:trHeight w:val="296" w:hRule="atLeast"/>
        </w:trPr>
        <w:tc>
          <w:tcPr>
            <w:tcW w:w="166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5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51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18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17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26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显效</w:t>
            </w:r>
          </w:p>
        </w:tc>
        <w:tc>
          <w:tcPr>
            <w:tcW w:w="16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50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有效</w:t>
            </w:r>
          </w:p>
        </w:tc>
        <w:tc>
          <w:tcPr>
            <w:tcW w:w="161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49"/>
              <w:spacing w:before="70" w:line="211" w:lineRule="auto"/>
              <w:rPr/>
            </w:pPr>
            <w:r>
              <w:rPr>
                <w:color w:val="231F20"/>
                <w:spacing w:val="-1"/>
              </w:rPr>
              <w:t>无效</w:t>
            </w:r>
          </w:p>
        </w:tc>
        <w:tc>
          <w:tcPr>
            <w:tcW w:w="16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85"/>
              <w:spacing w:before="70" w:line="211" w:lineRule="auto"/>
              <w:rPr/>
            </w:pPr>
            <w:r>
              <w:rPr>
                <w:color w:val="231F20"/>
                <w:spacing w:val="-3"/>
              </w:rPr>
              <w:t>总有效</w:t>
            </w:r>
          </w:p>
        </w:tc>
      </w:tr>
      <w:tr>
        <w:trPr>
          <w:trHeight w:val="300" w:hRule="atLeast"/>
        </w:trPr>
        <w:tc>
          <w:tcPr>
            <w:tcW w:w="16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4"/>
              <w:spacing w:before="67" w:line="214" w:lineRule="auto"/>
              <w:rPr/>
            </w:pPr>
            <w:r>
              <w:rPr>
                <w:color w:val="231F20"/>
                <w:spacing w:val="-1"/>
              </w:rPr>
              <w:t>参照组</w:t>
            </w:r>
          </w:p>
        </w:tc>
        <w:tc>
          <w:tcPr>
            <w:tcW w:w="15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96"/>
              <w:spacing w:before="65" w:line="225" w:lineRule="exact"/>
              <w:rPr/>
            </w:pPr>
            <w:r>
              <w:rPr>
                <w:color w:val="231F20"/>
                <w:spacing w:val="-1"/>
                <w:position w:val="1"/>
              </w:rPr>
              <w:t>49</w:t>
            </w:r>
          </w:p>
        </w:tc>
        <w:tc>
          <w:tcPr>
            <w:tcW w:w="17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85"/>
              <w:spacing w:before="65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20(40.82)</w:t>
            </w:r>
          </w:p>
        </w:tc>
        <w:tc>
          <w:tcPr>
            <w:tcW w:w="16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3"/>
              <w:spacing w:before="65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17(34.69)</w:t>
            </w:r>
          </w:p>
        </w:tc>
        <w:tc>
          <w:tcPr>
            <w:tcW w:w="16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3"/>
              <w:spacing w:before="65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12(24.49)</w:t>
            </w:r>
          </w:p>
        </w:tc>
        <w:tc>
          <w:tcPr>
            <w:tcW w:w="16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0"/>
              <w:spacing w:before="65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37(75.51)</w:t>
            </w:r>
          </w:p>
        </w:tc>
      </w:tr>
      <w:tr>
        <w:trPr>
          <w:trHeight w:val="295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578"/>
              <w:spacing w:before="70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516" w:type="dxa"/>
            <w:vAlign w:val="top"/>
          </w:tcPr>
          <w:p>
            <w:pPr>
              <w:pStyle w:val="TableText"/>
              <w:ind w:left="696"/>
              <w:spacing w:before="66" w:line="218" w:lineRule="exact"/>
              <w:rPr/>
            </w:pPr>
            <w:r>
              <w:rPr>
                <w:color w:val="231F20"/>
                <w:spacing w:val="-1"/>
                <w:position w:val="1"/>
              </w:rPr>
              <w:t>49</w:t>
            </w:r>
          </w:p>
        </w:tc>
        <w:tc>
          <w:tcPr>
            <w:tcW w:w="1701" w:type="dxa"/>
            <w:vAlign w:val="top"/>
          </w:tcPr>
          <w:p>
            <w:pPr>
              <w:pStyle w:val="TableText"/>
              <w:ind w:left="588"/>
              <w:spacing w:before="66" w:line="216" w:lineRule="exact"/>
              <w:rPr/>
            </w:pPr>
            <w:r>
              <w:rPr>
                <w:color w:val="231F20"/>
                <w:spacing w:val="-13"/>
                <w:position w:val="1"/>
              </w:rPr>
              <w:t>32(65.31)</w:t>
            </w:r>
          </w:p>
        </w:tc>
        <w:tc>
          <w:tcPr>
            <w:tcW w:w="1625" w:type="dxa"/>
            <w:vAlign w:val="top"/>
          </w:tcPr>
          <w:p>
            <w:pPr>
              <w:pStyle w:val="TableText"/>
              <w:ind w:left="523"/>
              <w:spacing w:before="66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13(26.53)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587"/>
              <w:spacing w:before="66" w:line="216" w:lineRule="exact"/>
              <w:rPr/>
            </w:pPr>
            <w:r>
              <w:rPr>
                <w:color w:val="231F20"/>
                <w:spacing w:val="-16"/>
                <w:position w:val="1"/>
              </w:rPr>
              <w:t>4(8.16)</w:t>
            </w:r>
          </w:p>
        </w:tc>
        <w:tc>
          <w:tcPr>
            <w:tcW w:w="1628" w:type="dxa"/>
            <w:vAlign w:val="top"/>
          </w:tcPr>
          <w:p>
            <w:pPr>
              <w:pStyle w:val="TableText"/>
              <w:ind w:left="515"/>
              <w:spacing w:before="46" w:line="236" w:lineRule="exact"/>
              <w:rPr>
                <w:sz w:val="9"/>
                <w:szCs w:val="9"/>
              </w:rPr>
            </w:pPr>
            <w:r>
              <w:rPr>
                <w:color w:val="231F20"/>
                <w:spacing w:val="-14"/>
                <w:position w:val="1"/>
              </w:rPr>
              <w:t>45(91.84)</w:t>
            </w:r>
            <w:r>
              <w:rPr>
                <w:sz w:val="9"/>
                <w:szCs w:val="9"/>
                <w:color w:val="231F20"/>
                <w:spacing w:val="5"/>
                <w:position w:val="8"/>
              </w:rPr>
              <w:t>a</w:t>
            </w:r>
          </w:p>
        </w:tc>
      </w:tr>
      <w:tr>
        <w:trPr>
          <w:trHeight w:val="314" w:hRule="atLeast"/>
        </w:trPr>
        <w:tc>
          <w:tcPr>
            <w:tcW w:w="1664" w:type="dxa"/>
            <w:vAlign w:val="top"/>
          </w:tcPr>
          <w:p>
            <w:pPr>
              <w:pStyle w:val="TableText"/>
              <w:ind w:left="748"/>
              <w:spacing w:before="52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5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8" w:type="dxa"/>
            <w:vAlign w:val="top"/>
          </w:tcPr>
          <w:p>
            <w:pPr>
              <w:pStyle w:val="TableText"/>
              <w:ind w:left="639"/>
              <w:spacing w:before="71" w:line="231" w:lineRule="exact"/>
              <w:rPr/>
            </w:pPr>
            <w:r>
              <w:rPr>
                <w:color w:val="231F20"/>
                <w:spacing w:val="-8"/>
                <w:position w:val="1"/>
              </w:rPr>
              <w:t>4.780</w:t>
            </w:r>
          </w:p>
        </w:tc>
      </w:tr>
      <w:tr>
        <w:trPr>
          <w:trHeight w:val="287" w:hRule="atLeast"/>
        </w:trPr>
        <w:tc>
          <w:tcPr>
            <w:tcW w:w="1664" w:type="dxa"/>
            <w:vAlign w:val="top"/>
            <w:tcBorders>
              <w:bottom w:val="single" w:color="231F20" w:sz="4" w:space="0"/>
            </w:tcBorders>
          </w:tcPr>
          <w:p>
            <w:pPr>
              <w:ind w:left="763"/>
              <w:spacing w:before="89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516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0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5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17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0"/>
              <w:spacing w:before="58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0.029</w:t>
            </w:r>
          </w:p>
        </w:tc>
      </w:tr>
    </w:tbl>
    <w:p>
      <w:pPr>
        <w:pStyle w:val="BodyText"/>
        <w:ind w:left="1073"/>
        <w:spacing w:before="33" w:line="259" w:lineRule="exact"/>
        <w:rPr/>
      </w:pPr>
      <w:r>
        <w:rPr>
          <w:color w:val="231F20"/>
          <w:spacing w:val="-10"/>
          <w:position w:val="1"/>
        </w:rPr>
        <w:t>注</w:t>
      </w:r>
      <w:r>
        <w:rPr>
          <w:color w:val="231F20"/>
          <w:spacing w:val="-29"/>
          <w:position w:val="1"/>
        </w:rPr>
        <w:t xml:space="preserve"> </w:t>
      </w:r>
      <w:r>
        <w:rPr>
          <w:color w:val="231F20"/>
          <w:spacing w:val="-10"/>
          <w:position w:val="1"/>
        </w:rPr>
        <w:t>：与参照组比较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0"/>
          <w:position w:val="1"/>
        </w:rPr>
        <w:t>,</w:t>
      </w:r>
      <w:r>
        <w:rPr>
          <w:color w:val="231F20"/>
          <w:spacing w:val="-43"/>
          <w:position w:val="1"/>
        </w:rPr>
        <w:t xml:space="preserve"> </w:t>
      </w:r>
      <w:r>
        <w:rPr>
          <w:sz w:val="10"/>
          <w:szCs w:val="10"/>
          <w:color w:val="231F20"/>
          <w:spacing w:val="-10"/>
          <w:position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  <w:position w:val="1"/>
        </w:rPr>
        <w:t>P&lt;</w:t>
      </w:r>
      <w:r>
        <w:rPr>
          <w:color w:val="231F20"/>
          <w:spacing w:val="-10"/>
          <w:position w:val="1"/>
        </w:rPr>
        <w:t>0.05</w:t>
      </w:r>
    </w:p>
    <w:p>
      <w:pPr>
        <w:pStyle w:val="BodyText"/>
        <w:ind w:left="4167"/>
        <w:spacing w:before="56" w:line="245" w:lineRule="exact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5"/>
          <w:position w:val="1"/>
        </w:rPr>
        <w:t>表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</w:rPr>
        <w:t>2    </w:t>
      </w:r>
      <w:r>
        <w:rPr>
          <w:color w:val="231F20"/>
          <w:spacing w:val="-5"/>
          <w:position w:val="1"/>
        </w:rPr>
        <w:t>两组患者的手术指标比较</w:t>
      </w:r>
      <w:r>
        <w:rPr>
          <w:color w:val="231F20"/>
          <w:spacing w:val="-37"/>
          <w:position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color w:val="231F20"/>
          <w:spacing w:val="-1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</w:rPr>
        <w:t>x</w:t>
      </w:r>
      <w:r>
        <w:rPr>
          <w:rFonts w:ascii="Microsoft YaHei" w:hAnsi="Microsoft YaHei" w:eastAsia="Microsoft YaHei" w:cs="Microsoft YaHei"/>
          <w:color w:val="231F20"/>
          <w:spacing w:val="-5"/>
          <w:position w:val="8"/>
        </w:rPr>
        <w:t>- </w:t>
      </w:r>
      <w:r>
        <w:rPr>
          <w:rFonts w:ascii="Microsoft YaHei" w:hAnsi="Microsoft YaHei" w:eastAsia="Microsoft YaHei" w:cs="Microsoft YaHei"/>
          <w:color w:val="231F20"/>
          <w:spacing w:val="-5"/>
          <w:position w:val="1"/>
        </w:rPr>
        <w:t>±</w:t>
      </w:r>
      <w:r>
        <w:rPr>
          <w:rFonts w:ascii="Times New Roman" w:hAnsi="Times New Roman" w:eastAsia="Times New Roman" w:cs="Times New Roman"/>
          <w:color w:val="231F20"/>
          <w:spacing w:val="-5"/>
          <w:position w:val="1"/>
        </w:rPr>
        <w:t>s</w:t>
      </w:r>
      <w:r>
        <w:rPr>
          <w:color w:val="231F20"/>
          <w:spacing w:val="-5"/>
          <w:position w:val="1"/>
        </w:rPr>
        <w:t>)</w:t>
      </w:r>
    </w:p>
    <w:tbl>
      <w:tblPr>
        <w:tblStyle w:val="TableNormal"/>
        <w:tblW w:w="9751" w:type="dxa"/>
        <w:tblInd w:w="7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76"/>
        <w:gridCol w:w="2228"/>
        <w:gridCol w:w="2587"/>
        <w:gridCol w:w="2460"/>
      </w:tblGrid>
      <w:tr>
        <w:trPr>
          <w:trHeight w:val="296" w:hRule="atLeast"/>
        </w:trPr>
        <w:tc>
          <w:tcPr>
            <w:tcW w:w="247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62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2228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25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5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91"/>
              <w:spacing w:before="65" w:line="214" w:lineRule="exact"/>
              <w:rPr/>
            </w:pPr>
            <w:r>
              <w:rPr>
                <w:color w:val="231F20"/>
                <w:spacing w:val="-8"/>
                <w:position w:val="1"/>
              </w:rPr>
              <w:t>手术时间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(min)</w:t>
            </w:r>
          </w:p>
        </w:tc>
        <w:tc>
          <w:tcPr>
            <w:tcW w:w="246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0"/>
              <w:spacing w:before="65" w:line="214" w:lineRule="exact"/>
              <w:rPr/>
            </w:pPr>
            <w:r>
              <w:rPr>
                <w:color w:val="231F20"/>
                <w:spacing w:val="-8"/>
                <w:position w:val="1"/>
              </w:rPr>
              <w:t>术中出血量</w:t>
            </w:r>
            <w:r>
              <w:rPr>
                <w:color w:val="231F20"/>
                <w:spacing w:val="-2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(ml)</w:t>
            </w:r>
          </w:p>
        </w:tc>
      </w:tr>
      <w:tr>
        <w:trPr>
          <w:trHeight w:val="291" w:hRule="atLeast"/>
        </w:trPr>
        <w:tc>
          <w:tcPr>
            <w:tcW w:w="24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80"/>
              <w:spacing w:before="67" w:line="214" w:lineRule="auto"/>
              <w:rPr/>
            </w:pPr>
            <w:r>
              <w:rPr>
                <w:color w:val="231F20"/>
                <w:spacing w:val="-1"/>
              </w:rPr>
              <w:t>参照组</w:t>
            </w:r>
          </w:p>
        </w:tc>
        <w:tc>
          <w:tcPr>
            <w:tcW w:w="22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03"/>
              <w:spacing w:before="65" w:line="215" w:lineRule="exact"/>
              <w:rPr/>
            </w:pPr>
            <w:r>
              <w:rPr>
                <w:color w:val="231F20"/>
                <w:spacing w:val="-1"/>
                <w:position w:val="1"/>
              </w:rPr>
              <w:t>49</w:t>
            </w:r>
          </w:p>
        </w:tc>
        <w:tc>
          <w:tcPr>
            <w:tcW w:w="25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7"/>
              <w:spacing w:before="65" w:line="215" w:lineRule="exact"/>
              <w:rPr/>
            </w:pPr>
            <w:r>
              <w:rPr>
                <w:color w:val="231F20"/>
                <w:spacing w:val="-9"/>
                <w:position w:val="1"/>
              </w:rPr>
              <w:t>91.94±22.48</w:t>
            </w:r>
          </w:p>
        </w:tc>
        <w:tc>
          <w:tcPr>
            <w:tcW w:w="246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6"/>
              <w:spacing w:before="65" w:line="215" w:lineRule="exact"/>
              <w:rPr/>
            </w:pPr>
            <w:r>
              <w:rPr>
                <w:color w:val="231F20"/>
                <w:spacing w:val="-9"/>
                <w:position w:val="1"/>
              </w:rPr>
              <w:t>41.27±6.16</w:t>
            </w:r>
          </w:p>
        </w:tc>
      </w:tr>
      <w:tr>
        <w:trPr>
          <w:trHeight w:val="311" w:hRule="atLeast"/>
        </w:trPr>
        <w:tc>
          <w:tcPr>
            <w:tcW w:w="2476" w:type="dxa"/>
            <w:vAlign w:val="top"/>
          </w:tcPr>
          <w:p>
            <w:pPr>
              <w:pStyle w:val="TableText"/>
              <w:ind w:left="985"/>
              <w:spacing w:before="79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2228" w:type="dxa"/>
            <w:vAlign w:val="top"/>
          </w:tcPr>
          <w:p>
            <w:pPr>
              <w:pStyle w:val="TableText"/>
              <w:ind w:left="1103"/>
              <w:spacing w:before="75" w:line="225" w:lineRule="exact"/>
              <w:rPr/>
            </w:pPr>
            <w:r>
              <w:rPr>
                <w:color w:val="231F20"/>
                <w:spacing w:val="-1"/>
                <w:position w:val="1"/>
              </w:rPr>
              <w:t>49</w:t>
            </w:r>
          </w:p>
        </w:tc>
        <w:tc>
          <w:tcPr>
            <w:tcW w:w="2587" w:type="dxa"/>
            <w:vAlign w:val="top"/>
          </w:tcPr>
          <w:p>
            <w:pPr>
              <w:pStyle w:val="TableText"/>
              <w:ind w:left="958"/>
              <w:spacing w:before="55" w:line="245" w:lineRule="exact"/>
              <w:rPr>
                <w:sz w:val="9"/>
                <w:szCs w:val="9"/>
              </w:rPr>
            </w:pPr>
            <w:r>
              <w:rPr>
                <w:color w:val="231F20"/>
                <w:spacing w:val="-9"/>
                <w:position w:val="2"/>
              </w:rPr>
              <w:t>82.35±20.04</w:t>
            </w:r>
            <w:r>
              <w:rPr>
                <w:sz w:val="9"/>
                <w:szCs w:val="9"/>
                <w:color w:val="231F20"/>
                <w:spacing w:val="5"/>
                <w:position w:val="9"/>
              </w:rPr>
              <w:t>a</w:t>
            </w:r>
          </w:p>
        </w:tc>
        <w:tc>
          <w:tcPr>
            <w:tcW w:w="2460" w:type="dxa"/>
            <w:vAlign w:val="top"/>
          </w:tcPr>
          <w:p>
            <w:pPr>
              <w:pStyle w:val="TableText"/>
              <w:ind w:left="850"/>
              <w:spacing w:before="55" w:line="245" w:lineRule="exact"/>
              <w:rPr>
                <w:sz w:val="9"/>
                <w:szCs w:val="9"/>
              </w:rPr>
            </w:pPr>
            <w:r>
              <w:rPr>
                <w:color w:val="231F20"/>
                <w:spacing w:val="-10"/>
                <w:position w:val="2"/>
              </w:rPr>
              <w:t>30.85±7.49</w:t>
            </w:r>
            <w:r>
              <w:rPr>
                <w:sz w:val="9"/>
                <w:szCs w:val="9"/>
                <w:color w:val="231F20"/>
                <w:spacing w:val="6"/>
                <w:position w:val="9"/>
              </w:rPr>
              <w:t>a</w:t>
            </w:r>
          </w:p>
        </w:tc>
      </w:tr>
      <w:tr>
        <w:trPr>
          <w:trHeight w:val="292" w:hRule="atLeast"/>
        </w:trPr>
        <w:tc>
          <w:tcPr>
            <w:tcW w:w="2476" w:type="dxa"/>
            <w:vAlign w:val="top"/>
          </w:tcPr>
          <w:p>
            <w:pPr>
              <w:ind w:left="1199"/>
              <w:spacing w:before="122" w:line="11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-2"/>
              </w:rPr>
              <w:t>t</w:t>
            </w:r>
          </w:p>
        </w:tc>
        <w:tc>
          <w:tcPr>
            <w:tcW w:w="22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7" w:type="dxa"/>
            <w:vAlign w:val="top"/>
          </w:tcPr>
          <w:p>
            <w:pPr>
              <w:pStyle w:val="TableText"/>
              <w:ind w:left="1216"/>
              <w:spacing w:before="6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2.229</w:t>
            </w:r>
          </w:p>
        </w:tc>
        <w:tc>
          <w:tcPr>
            <w:tcW w:w="2460" w:type="dxa"/>
            <w:vAlign w:val="top"/>
          </w:tcPr>
          <w:p>
            <w:pPr>
              <w:pStyle w:val="TableText"/>
              <w:ind w:left="1066"/>
              <w:spacing w:before="64" w:line="218" w:lineRule="exact"/>
              <w:rPr/>
            </w:pPr>
            <w:r>
              <w:rPr>
                <w:color w:val="231F20"/>
                <w:spacing w:val="-8"/>
                <w:position w:val="1"/>
              </w:rPr>
              <w:t>7.521</w:t>
            </w:r>
          </w:p>
        </w:tc>
      </w:tr>
      <w:tr>
        <w:trPr>
          <w:trHeight w:val="302" w:hRule="atLeast"/>
        </w:trPr>
        <w:tc>
          <w:tcPr>
            <w:tcW w:w="2476" w:type="dxa"/>
            <w:vAlign w:val="top"/>
            <w:tcBorders>
              <w:bottom w:val="single" w:color="231F20" w:sz="4" w:space="0"/>
            </w:tcBorders>
          </w:tcPr>
          <w:p>
            <w:pPr>
              <w:ind w:left="1169"/>
              <w:spacing w:before="104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2228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15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0.028</w:t>
            </w:r>
          </w:p>
        </w:tc>
        <w:tc>
          <w:tcPr>
            <w:tcW w:w="246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66"/>
              <w:spacing w:before="73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0.000</w:t>
            </w:r>
          </w:p>
        </w:tc>
      </w:tr>
    </w:tbl>
    <w:p>
      <w:pPr>
        <w:pStyle w:val="BodyText"/>
        <w:ind w:left="1073"/>
        <w:spacing w:before="33" w:line="260" w:lineRule="exact"/>
        <w:rPr/>
      </w:pPr>
      <w:r>
        <w:rPr>
          <w:color w:val="231F20"/>
          <w:spacing w:val="-10"/>
          <w:position w:val="1"/>
        </w:rPr>
        <w:t>注</w:t>
      </w:r>
      <w:r>
        <w:rPr>
          <w:color w:val="231F20"/>
          <w:spacing w:val="-29"/>
          <w:position w:val="1"/>
        </w:rPr>
        <w:t xml:space="preserve"> </w:t>
      </w:r>
      <w:r>
        <w:rPr>
          <w:color w:val="231F20"/>
          <w:spacing w:val="-10"/>
          <w:position w:val="1"/>
        </w:rPr>
        <w:t>：与参照组比较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0"/>
          <w:position w:val="1"/>
        </w:rPr>
        <w:t>,</w:t>
      </w:r>
      <w:r>
        <w:rPr>
          <w:color w:val="231F20"/>
          <w:spacing w:val="-43"/>
          <w:position w:val="1"/>
        </w:rPr>
        <w:t xml:space="preserve"> </w:t>
      </w:r>
      <w:r>
        <w:rPr>
          <w:sz w:val="10"/>
          <w:szCs w:val="10"/>
          <w:color w:val="231F20"/>
          <w:spacing w:val="-10"/>
          <w:position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-10"/>
          <w:position w:val="1"/>
        </w:rPr>
        <w:t>P&lt;</w:t>
      </w:r>
      <w:r>
        <w:rPr>
          <w:color w:val="231F20"/>
          <w:spacing w:val="-10"/>
          <w:position w:val="1"/>
        </w:rPr>
        <w:t>0.05</w:t>
      </w:r>
    </w:p>
    <w:p>
      <w:pPr>
        <w:pStyle w:val="BodyText"/>
        <w:ind w:left="3673"/>
        <w:spacing w:before="56" w:line="190" w:lineRule="auto"/>
        <w:outlineLvl w:val="0"/>
        <w:rPr/>
      </w:pPr>
      <w:r>
        <w:rPr>
          <w:rFonts w:ascii="Microsoft YaHei" w:hAnsi="Microsoft YaHei" w:eastAsia="Microsoft YaHei" w:cs="Microsoft YaHei"/>
          <w:color w:val="231F20"/>
          <w:spacing w:val="-1"/>
        </w:rPr>
        <w:t>表 </w:t>
      </w:r>
      <w:r>
        <w:rPr>
          <w:rFonts w:ascii="Times New Roman" w:hAnsi="Times New Roman" w:eastAsia="Times New Roman" w:cs="Times New Roman"/>
          <w:color w:val="231F20"/>
          <w:spacing w:val="-1"/>
        </w:rPr>
        <w:t>3    </w:t>
      </w:r>
      <w:r>
        <w:rPr>
          <w:color w:val="231F20"/>
          <w:spacing w:val="-1"/>
        </w:rPr>
        <w:t>两组患者的术后并发症发生情况比较</w:t>
      </w:r>
      <w:r>
        <w:rPr>
          <w:color w:val="231F20"/>
          <w:spacing w:val="-2"/>
        </w:rPr>
        <w:t>［n(%)］</w:t>
      </w:r>
    </w:p>
    <w:tbl>
      <w:tblPr>
        <w:tblStyle w:val="TableNormal"/>
        <w:tblW w:w="9751" w:type="dxa"/>
        <w:tblInd w:w="78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89"/>
        <w:gridCol w:w="1831"/>
        <w:gridCol w:w="2067"/>
        <w:gridCol w:w="1872"/>
        <w:gridCol w:w="1992"/>
      </w:tblGrid>
      <w:tr>
        <w:trPr>
          <w:trHeight w:val="296" w:hRule="atLeast"/>
        </w:trPr>
        <w:tc>
          <w:tcPr>
            <w:tcW w:w="198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18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组别</w:t>
            </w:r>
          </w:p>
        </w:tc>
        <w:tc>
          <w:tcPr>
            <w:tcW w:w="183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80"/>
              <w:spacing w:before="69" w:line="212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206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38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切口感染</w:t>
            </w:r>
          </w:p>
        </w:tc>
        <w:tc>
          <w:tcPr>
            <w:tcW w:w="18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0"/>
              <w:spacing w:before="71" w:line="208" w:lineRule="auto"/>
              <w:rPr/>
            </w:pPr>
            <w:r>
              <w:rPr>
                <w:color w:val="231F20"/>
                <w:spacing w:val="-1"/>
              </w:rPr>
              <w:t>肺栓塞</w:t>
            </w:r>
          </w:p>
        </w:tc>
        <w:tc>
          <w:tcPr>
            <w:tcW w:w="199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00"/>
              <w:spacing w:before="67" w:line="214" w:lineRule="auto"/>
              <w:rPr/>
            </w:pPr>
            <w:r>
              <w:rPr>
                <w:color w:val="231F20"/>
                <w:spacing w:val="-1"/>
              </w:rPr>
              <w:t>体温升高</w:t>
            </w:r>
          </w:p>
        </w:tc>
      </w:tr>
      <w:tr>
        <w:trPr>
          <w:trHeight w:val="300" w:hRule="atLeast"/>
        </w:trPr>
        <w:tc>
          <w:tcPr>
            <w:tcW w:w="19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7"/>
              <w:spacing w:before="67" w:line="214" w:lineRule="auto"/>
              <w:rPr/>
            </w:pPr>
            <w:r>
              <w:rPr>
                <w:color w:val="231F20"/>
                <w:spacing w:val="-1"/>
              </w:rPr>
              <w:t>参照组</w:t>
            </w:r>
          </w:p>
        </w:tc>
        <w:tc>
          <w:tcPr>
            <w:tcW w:w="183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58"/>
              <w:spacing w:before="65" w:line="225" w:lineRule="exact"/>
              <w:rPr/>
            </w:pPr>
            <w:r>
              <w:rPr>
                <w:color w:val="231F20"/>
                <w:spacing w:val="-1"/>
                <w:position w:val="1"/>
              </w:rPr>
              <w:t>49</w:t>
            </w:r>
          </w:p>
        </w:tc>
        <w:tc>
          <w:tcPr>
            <w:tcW w:w="206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0"/>
              <w:spacing w:before="65" w:line="216" w:lineRule="exact"/>
              <w:rPr/>
            </w:pPr>
            <w:r>
              <w:rPr>
                <w:color w:val="231F20"/>
                <w:spacing w:val="-16"/>
                <w:position w:val="1"/>
              </w:rPr>
              <w:t>3(6.12)</w:t>
            </w:r>
          </w:p>
        </w:tc>
        <w:tc>
          <w:tcPr>
            <w:tcW w:w="18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34"/>
              <w:spacing w:before="65" w:line="216" w:lineRule="exact"/>
              <w:rPr/>
            </w:pPr>
            <w:r>
              <w:rPr>
                <w:color w:val="231F20"/>
                <w:spacing w:val="-18"/>
                <w:position w:val="1"/>
              </w:rPr>
              <w:t>1(2.04)</w:t>
            </w:r>
          </w:p>
        </w:tc>
        <w:tc>
          <w:tcPr>
            <w:tcW w:w="199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59"/>
              <w:spacing w:before="65" w:line="216" w:lineRule="exact"/>
              <w:rPr/>
            </w:pPr>
            <w:r>
              <w:rPr>
                <w:color w:val="231F20"/>
                <w:spacing w:val="-14"/>
                <w:position w:val="1"/>
              </w:rPr>
              <w:t>5(10.20)</w:t>
            </w:r>
          </w:p>
        </w:tc>
      </w:tr>
      <w:tr>
        <w:trPr>
          <w:trHeight w:val="295" w:hRule="atLeast"/>
        </w:trPr>
        <w:tc>
          <w:tcPr>
            <w:tcW w:w="1989" w:type="dxa"/>
            <w:vAlign w:val="top"/>
          </w:tcPr>
          <w:p>
            <w:pPr>
              <w:pStyle w:val="TableText"/>
              <w:ind w:left="741"/>
              <w:spacing w:before="70" w:line="211" w:lineRule="auto"/>
              <w:rPr/>
            </w:pPr>
            <w:r>
              <w:rPr>
                <w:color w:val="231F20"/>
                <w:spacing w:val="-2"/>
              </w:rPr>
              <w:t>观察组</w:t>
            </w:r>
          </w:p>
        </w:tc>
        <w:tc>
          <w:tcPr>
            <w:tcW w:w="1831" w:type="dxa"/>
            <w:vAlign w:val="top"/>
          </w:tcPr>
          <w:p>
            <w:pPr>
              <w:pStyle w:val="TableText"/>
              <w:ind w:left="858"/>
              <w:spacing w:before="66" w:line="218" w:lineRule="exact"/>
              <w:rPr/>
            </w:pPr>
            <w:r>
              <w:rPr>
                <w:color w:val="231F20"/>
                <w:spacing w:val="-1"/>
                <w:position w:val="1"/>
              </w:rPr>
              <w:t>49</w:t>
            </w:r>
          </w:p>
        </w:tc>
        <w:tc>
          <w:tcPr>
            <w:tcW w:w="2067" w:type="dxa"/>
            <w:vAlign w:val="top"/>
          </w:tcPr>
          <w:p>
            <w:pPr>
              <w:pStyle w:val="TableText"/>
              <w:ind w:left="1019"/>
              <w:spacing w:before="66" w:line="218" w:lineRule="exact"/>
              <w:rPr/>
            </w:pPr>
            <w:r>
              <w:rPr>
                <w:color w:val="231F20"/>
                <w:position w:val="1"/>
              </w:rPr>
              <w:t>0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902"/>
              <w:spacing w:before="66" w:line="218" w:lineRule="exact"/>
              <w:rPr/>
            </w:pPr>
            <w:r>
              <w:rPr>
                <w:color w:val="231F20"/>
                <w:position w:val="1"/>
              </w:rPr>
              <w:t>0</w:t>
            </w:r>
          </w:p>
        </w:tc>
        <w:tc>
          <w:tcPr>
            <w:tcW w:w="1992" w:type="dxa"/>
            <w:vAlign w:val="top"/>
          </w:tcPr>
          <w:p>
            <w:pPr>
              <w:pStyle w:val="TableText"/>
              <w:ind w:left="812"/>
              <w:spacing w:before="66" w:line="216" w:lineRule="exact"/>
              <w:rPr/>
            </w:pPr>
            <w:r>
              <w:rPr>
                <w:color w:val="231F20"/>
                <w:spacing w:val="-18"/>
                <w:position w:val="1"/>
              </w:rPr>
              <w:t>1(2.04)</w:t>
            </w:r>
          </w:p>
        </w:tc>
      </w:tr>
      <w:tr>
        <w:trPr>
          <w:trHeight w:val="313" w:hRule="atLeast"/>
        </w:trPr>
        <w:tc>
          <w:tcPr>
            <w:tcW w:w="1989" w:type="dxa"/>
            <w:vAlign w:val="top"/>
          </w:tcPr>
          <w:p>
            <w:pPr>
              <w:pStyle w:val="TableText"/>
              <w:ind w:left="910"/>
              <w:spacing w:before="52" w:line="249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4"/>
                <w:position w:val="1"/>
              </w:rPr>
              <w:t>χ</w:t>
            </w:r>
            <w:r>
              <w:rPr>
                <w:sz w:val="9"/>
                <w:szCs w:val="9"/>
                <w:color w:val="231F20"/>
                <w:position w:val="7"/>
              </w:rPr>
              <w:t>2</w:t>
            </w:r>
          </w:p>
        </w:tc>
        <w:tc>
          <w:tcPr>
            <w:tcW w:w="183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</w:tcPr>
          <w:p>
            <w:pPr>
              <w:pStyle w:val="TableText"/>
              <w:ind w:left="884"/>
              <w:spacing w:before="71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3.095</w:t>
            </w:r>
          </w:p>
        </w:tc>
        <w:tc>
          <w:tcPr>
            <w:tcW w:w="1872" w:type="dxa"/>
            <w:vAlign w:val="top"/>
          </w:tcPr>
          <w:p>
            <w:pPr>
              <w:pStyle w:val="TableText"/>
              <w:ind w:left="777"/>
              <w:spacing w:before="71" w:line="231" w:lineRule="exact"/>
              <w:rPr/>
            </w:pPr>
            <w:r>
              <w:rPr>
                <w:color w:val="231F20"/>
                <w:spacing w:val="-10"/>
                <w:position w:val="1"/>
              </w:rPr>
              <w:t>1.010</w:t>
            </w:r>
          </w:p>
        </w:tc>
        <w:tc>
          <w:tcPr>
            <w:tcW w:w="1992" w:type="dxa"/>
            <w:vAlign w:val="top"/>
          </w:tcPr>
          <w:p>
            <w:pPr>
              <w:pStyle w:val="TableText"/>
              <w:ind w:left="842"/>
              <w:spacing w:before="71" w:line="231" w:lineRule="exact"/>
              <w:rPr/>
            </w:pPr>
            <w:r>
              <w:rPr>
                <w:color w:val="231F20"/>
                <w:spacing w:val="-8"/>
                <w:position w:val="1"/>
              </w:rPr>
              <w:t>2.841</w:t>
            </w:r>
          </w:p>
        </w:tc>
      </w:tr>
      <w:tr>
        <w:trPr>
          <w:trHeight w:val="288" w:hRule="atLeast"/>
        </w:trPr>
        <w:tc>
          <w:tcPr>
            <w:tcW w:w="1989" w:type="dxa"/>
            <w:vAlign w:val="top"/>
            <w:tcBorders>
              <w:bottom w:val="single" w:color="231F20" w:sz="4" w:space="0"/>
            </w:tcBorders>
          </w:tcPr>
          <w:p>
            <w:pPr>
              <w:ind w:left="925"/>
              <w:spacing w:before="90" w:line="18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>P</w:t>
            </w:r>
          </w:p>
        </w:tc>
        <w:tc>
          <w:tcPr>
            <w:tcW w:w="1831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6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80"/>
              <w:spacing w:before="59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0.079</w:t>
            </w:r>
          </w:p>
        </w:tc>
        <w:tc>
          <w:tcPr>
            <w:tcW w:w="18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64"/>
              <w:spacing w:before="59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0.315</w:t>
            </w:r>
          </w:p>
        </w:tc>
        <w:tc>
          <w:tcPr>
            <w:tcW w:w="199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42"/>
              <w:spacing w:before="59" w:line="219" w:lineRule="exact"/>
              <w:rPr/>
            </w:pPr>
            <w:r>
              <w:rPr>
                <w:color w:val="231F20"/>
                <w:spacing w:val="-8"/>
                <w:position w:val="1"/>
              </w:rPr>
              <w:t>0.092</w:t>
            </w:r>
          </w:p>
        </w:tc>
      </w:tr>
    </w:tbl>
    <w:p>
      <w:pPr>
        <w:spacing w:line="43" w:lineRule="auto"/>
        <w:rPr>
          <w:rFonts w:ascii="Arial"/>
          <w:sz w:val="2"/>
        </w:rPr>
      </w:pPr>
      <w:r/>
    </w:p>
    <w:p>
      <w:pPr>
        <w:spacing w:line="43" w:lineRule="auto"/>
        <w:sectPr>
          <w:type w:val="continuous"/>
          <w:pgSz w:w="12246" w:h="17178"/>
          <w:pgMar w:top="1542" w:right="1223" w:bottom="0" w:left="407" w:header="1219" w:footer="0" w:gutter="0"/>
          <w:cols w:equalWidth="0" w:num="1">
            <w:col w:w="1061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73"/>
        <w:spacing w:before="51" w:line="238" w:lineRule="exact"/>
        <w:rPr/>
      </w:pPr>
      <w:r>
        <w:rPr>
          <w:color w:val="231F20"/>
          <w:spacing w:val="-12"/>
          <w:position w:val="1"/>
        </w:rPr>
        <w:t>注</w:t>
      </w:r>
      <w:r>
        <w:rPr>
          <w:color w:val="231F20"/>
          <w:spacing w:val="-26"/>
          <w:position w:val="1"/>
        </w:rPr>
        <w:t xml:space="preserve"> </w:t>
      </w:r>
      <w:r>
        <w:rPr>
          <w:color w:val="231F20"/>
          <w:spacing w:val="-12"/>
          <w:position w:val="1"/>
        </w:rPr>
        <w:t>：两组比较</w:t>
      </w:r>
      <w:r>
        <w:rPr>
          <w:color w:val="231F20"/>
          <w:spacing w:val="-36"/>
          <w:position w:val="1"/>
        </w:rPr>
        <w:t xml:space="preserve"> </w:t>
      </w:r>
      <w:r>
        <w:rPr>
          <w:color w:val="231F20"/>
          <w:spacing w:val="-12"/>
          <w:position w:val="1"/>
        </w:rPr>
        <w:t>,</w:t>
      </w:r>
      <w:r>
        <w:rPr>
          <w:color w:val="231F20"/>
          <w:spacing w:val="-4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2"/>
          <w:position w:val="1"/>
        </w:rPr>
        <w:t>P&gt;</w:t>
      </w:r>
      <w:r>
        <w:rPr>
          <w:color w:val="231F20"/>
          <w:spacing w:val="-12"/>
          <w:position w:val="1"/>
        </w:rPr>
        <w:t>0.05</w:t>
      </w:r>
    </w:p>
    <w:p>
      <w:pPr>
        <w:ind w:left="785"/>
        <w:spacing w:before="108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讨论</w:t>
      </w:r>
    </w:p>
    <w:p>
      <w:pPr>
        <w:ind w:left="785" w:right="241" w:firstLine="425"/>
        <w:spacing w:before="18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卵巢囊肿蒂扭转作为临床常见的一种妇科急腹症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其发病率也发生了一定的上升 , 对女性患者群体的身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right="3" w:firstLine="4"/>
        <w:spacing w:before="87" w:line="19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心健康带来了严重影响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8"/>
        </w:rPr>
        <w:t>［6,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9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8"/>
        </w:rPr>
        <w:t>7］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。既往研究指出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, 卵巢囊肿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为浆液性以及囊性畸胎瘤等最易导致发生蒂扭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转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"/>
          <w:position w:val="9"/>
        </w:rPr>
        <w:t>［8］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若蒂发生急性扭转 , 则可能会导致患者瘤内血管高度</w:t>
      </w:r>
    </w:p>
    <w:p>
      <w:pPr>
        <w:spacing w:line="199" w:lineRule="auto"/>
        <w:sectPr>
          <w:type w:val="continuous"/>
          <w:pgSz w:w="12246" w:h="17178"/>
          <w:pgMar w:top="1542" w:right="1223" w:bottom="0" w:left="407" w:header="1219" w:footer="0" w:gutter="0"/>
          <w:cols w:equalWidth="0" w:num="2">
            <w:col w:w="5730" w:space="100"/>
            <w:col w:w="4785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3"/>
          <w:pgSz w:w="12246" w:h="17178"/>
          <w:pgMar w:top="1542" w:right="1108" w:bottom="0" w:left="407" w:header="1219" w:footer="0" w:gutter="0"/>
          <w:cols w:equalWidth="0" w:num="1">
            <w:col w:w="10730" w:space="0"/>
          </w:cols>
        </w:sectPr>
        <w:rPr/>
      </w:pPr>
    </w:p>
    <w:p>
      <w:pPr>
        <w:ind w:left="899" w:right="157" w:firstLine="1"/>
        <w:spacing w:before="43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充血 , 进而使得瘤体发生一定增大 , 使患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者发生继发感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染以及囊肿坏死的可能性增加。因此一旦发生卵巢囊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肿蒂扭转 , 需要及时进行有效治疗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3"/>
          <w:position w:val="8"/>
        </w:rPr>
        <w:t>［9］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</w:p>
    <w:p>
      <w:pPr>
        <w:ind w:left="897" w:right="156" w:firstLine="421"/>
        <w:spacing w:before="22"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对于女性群体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卵巢作为其一个极为重要的内分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泌器官 , 其无论是在女性生育方面还是在其内分泌功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能调节方面都发挥着极为重要的作用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8"/>
        </w:rPr>
        <w:t>［10］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。因此若将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卵巢囊肿蒂扭转患者的患侧卵巢切除 , 那么势必会减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少卵巢功能储备 , 无论是对患者生理还是心理都会带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来极大压力负担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6"/>
          <w:position w:val="8"/>
        </w:rPr>
        <w:t>［11］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。为防止卵巢囊肿蒂扭转患者发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生血栓脱落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以往临床大多选择患侧附件切除术进行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治疗。研究指出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, 保留卵巢手术并不会增加患者术后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肺栓塞的发生率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［12,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30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5"/>
          <w:position w:val="8"/>
        </w:rPr>
        <w:t>13］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。本次研究结果显示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  <w:position w:val="-1"/>
        </w:rPr>
        <w:t>观察组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患者的治疗总有效率 91.84% 高于参照组的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75.51%,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差异具有统计学意义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3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0.05)。观察组患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者的手术时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间 (82.35±20.04)min 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于参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的 (91.94±22.48)min,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术 中 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量 (30.85±7.49)ml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少 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组 的 (41.27±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6.16)ml,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差异具有统计学意义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-5"/>
        </w:rPr>
        <w:t>P&lt;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0.05)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。两组患者的术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后切口感染、肺栓塞、体温升高发生率比较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差异无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统计学意义 (</w:t>
      </w:r>
      <w:r>
        <w:rPr>
          <w:rFonts w:ascii="Times New Roman" w:hAnsi="Times New Roman" w:eastAsia="Times New Roman" w:cs="Times New Roman"/>
          <w:sz w:val="20"/>
          <w:szCs w:val="20"/>
          <w:color w:val="231F20"/>
          <w:spacing w:val="2"/>
        </w:rPr>
        <w:t>P&gt;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0.05)。究其原因可能是由于术中对高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位结扎卵巢动静脉能够有效降低血栓脱落风险 , 侧支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循环能够有效确保附件血供需求 , 进而可以维持患者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生理功能 , 提高疗效</w:t>
      </w:r>
      <w:r>
        <w:rPr>
          <w:rFonts w:ascii="Microsoft YaHei" w:hAnsi="Microsoft YaHei" w:eastAsia="Microsoft YaHei" w:cs="Microsoft YaHei"/>
          <w:sz w:val="11"/>
          <w:szCs w:val="11"/>
          <w:color w:val="231F20"/>
          <w:spacing w:val="-4"/>
          <w:position w:val="8"/>
        </w:rPr>
        <w:t>［14］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  <w:position w:val="-1"/>
        </w:rPr>
        <w:t>。</w:t>
      </w:r>
    </w:p>
    <w:p>
      <w:pPr>
        <w:ind w:left="899" w:right="157" w:firstLine="417"/>
        <w:spacing w:line="20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综上所述 , 保留卵巢手术在卵巢囊肿蒂扭转患者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的临床治疗中 , 不仅具有较为良好的手术治疗效果 ,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时还具有较高的手术治疗安全性 , 值得在临床治疗中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进一步推广。</w:t>
      </w:r>
    </w:p>
    <w:p>
      <w:pPr>
        <w:ind w:left="2660"/>
        <w:spacing w:before="167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参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文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  <w:w w:val="98"/>
        </w:rPr>
        <w:t>献</w:t>
      </w:r>
    </w:p>
    <w:p>
      <w:pPr>
        <w:ind w:left="813"/>
        <w:spacing w:before="200" w:line="16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［1］  浦春晓 , 赵福杰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卵巢囊肿蒂扭转手术中保留卵巢的安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全性及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12"/>
        <w:spacing w:before="38" w:line="201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治疗效果观察 . 实用妇科内分泌电子杂志 , 2019, 6(27):81-82.</w:t>
      </w:r>
    </w:p>
    <w:p>
      <w:pPr>
        <w:ind w:left="512" w:right="83" w:hanging="512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［2］  位粉霞 . 保留卵巢手术对良性卵巢肿瘤蒂扭转的应用效果分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析 . 首都食品与医药 , 2019, 26(1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8):40-41.</w:t>
      </w:r>
    </w:p>
    <w:p>
      <w:pPr>
        <w:ind w:left="510" w:right="82" w:hanging="510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［3］  张珍 , 谢贝贝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高慧 . 保留卵巢的保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守性手术治疗年轻患者良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性卵巢肿瘤蒂扭转 276 例 . 山东医药 , 2011, 51(30):5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0-51.</w:t>
      </w:r>
    </w:p>
    <w:p>
      <w:pPr>
        <w:ind w:left="509" w:right="82" w:hanging="509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［4］  邱大红 . 保留卵巢的保守性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手术治疗年轻患者良性卵巢肿瘤的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疗效及安全性研究 . 医药前沿 , 2018, 8(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22):21-22.</w:t>
      </w:r>
    </w:p>
    <w:p>
      <w:pPr>
        <w:ind w:left="510" w:right="82" w:hanging="510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［5］  张慧莉 . 经腹保守性和腹腔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镜下手术治疗卵巢肿瘤蒂扭转的效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果比较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中外医学研究 , 2019,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17(2)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:135-136.</w:t>
      </w:r>
    </w:p>
    <w:p>
      <w:pPr>
        <w:ind w:left="509" w:right="81" w:hanging="509"/>
        <w:spacing w:before="32" w:line="21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［6］  王倩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>腹腔镜下与经腹保守性手术治疗卵巢肿瘤蒂扭转效果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及对肛门排气时间影响评价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>临床医药文献电子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杂志 , 2018,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5(80):53.</w:t>
      </w:r>
    </w:p>
    <w:p>
      <w:pPr>
        <w:ind w:left="527" w:right="83" w:hanging="527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［7］  武艳霞 . 腹腔镜手术治疗卵巢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肿瘤蒂扭转的临床效果研究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中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国实用医药 , 2018,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13(26):35-37.</w:t>
      </w:r>
    </w:p>
    <w:p>
      <w:pPr>
        <w:ind w:left="510" w:right="82" w:hanging="510"/>
        <w:spacing w:before="32" w:line="21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［8］  李玉 , 李焱鑫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>张雪茹 . 腹腔镜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与经腹保守性手术治疗卵巢肿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5"/>
        </w:rPr>
        <w:t>瘤蒂扭转的效果及并发症发生率评价 . 世界最新医学信息文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摘 , 2018,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>18(73):55, 58.</w:t>
      </w:r>
    </w:p>
    <w:p>
      <w:pPr>
        <w:ind w:left="510" w:right="82" w:hanging="510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［9］  王萍 . 卵巢囊肿蒂扭转手术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中保留卵巢的治疗效果及安全性探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究 . 实用妇科内分泌电子杂志 , 2018, 5(12):23, 26.</w:t>
      </w:r>
    </w:p>
    <w:p>
      <w:pPr>
        <w:ind w:left="510" w:right="83" w:hanging="510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［10］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赵志勇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卵巢肿瘤蒂扭转腹腔镜下复位保留卵巢手术临床研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5"/>
        </w:rPr>
        <w:t>究 . 实用妇科内分泌电子杂志 , 2018, 5(7):46-47.</w:t>
      </w:r>
    </w:p>
    <w:p>
      <w:pPr>
        <w:ind w:left="510" w:right="82" w:hanging="510"/>
        <w:spacing w:before="30" w:line="22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［11］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3"/>
        </w:rPr>
        <w:t>黄彦林 . 保留卵巢的卵巢囊肿蒂扭转手术对患者临床治疗效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果及预后的影响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临床医药文献电子杂志 , 2017, 4(73):14301-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2"/>
        </w:rPr>
        <w:t>14302.</w:t>
      </w:r>
    </w:p>
    <w:p>
      <w:pPr>
        <w:ind w:left="510" w:right="82" w:hanging="511"/>
        <w:spacing w:before="5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［12］阳亚男 . 腹腔镜与经腹保守性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手术治疗卵巢肿瘤蒂扭转的效果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6"/>
        </w:rPr>
        <w:t>分析 . 现代诊断与治疗 , 2017, 28(3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):552-553.</w:t>
      </w:r>
    </w:p>
    <w:p>
      <w:pPr>
        <w:ind w:left="524" w:right="82" w:hanging="524"/>
        <w:spacing w:before="30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［13］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彭星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张玉梅 , 蔡春艳 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>等 . 腹腔镜下手术对卵巢肿瘤蒂扭转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的治疗效果分析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中国妇幼保健 , 2016, 31(23):5195-5197.</w:t>
      </w:r>
    </w:p>
    <w:p>
      <w:pPr>
        <w:ind w:left="520" w:right="83" w:hanging="520"/>
        <w:spacing w:before="31" w:line="21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［14］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何宏超 . 保留卵巢术对良性卵巢肿瘤蒂扭转的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治疗效果 .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中国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医药指南 , 2019,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8"/>
        </w:rPr>
        <w:t>17(5):69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9"/>
        </w:rPr>
        <w:t>-70.</w:t>
      </w:r>
    </w:p>
    <w:p>
      <w:pPr>
        <w:spacing w:before="30" w:line="201" w:lineRule="auto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7"/>
        </w:rPr>
        <w:t>［收稿日期 ：2021-08-25］</w:t>
      </w:r>
    </w:p>
    <w:sectPr>
      <w:type w:val="continuous"/>
      <w:pgSz w:w="12246" w:h="17178"/>
      <w:pgMar w:top="1542" w:right="1108" w:bottom="0" w:left="407" w:header="1219" w:footer="0" w:gutter="0"/>
      <w:cols w:equalWidth="0" w:num="2">
        <w:col w:w="5760" w:space="100"/>
        <w:col w:w="487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31.498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16"/>
      <w:spacing w:before="41" w:line="181" w:lineRule="auto"/>
      <w:rPr>
        <w:sz w:val="16"/>
        <w:szCs w:val="16"/>
      </w:rPr>
    </w:pPr>
    <w:r>
      <w:pict>
        <v:shape id="WordPictureWatermark6" style="position:absolute;margin-left:20.4pt;margin-top:831.498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·58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2"/>
        <w:position w:val="-1"/>
      </w:rPr>
      <w:t>· 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 xml:space="preserve">       </w:t>
    </w:r>
    <w:r>
      <w:rPr>
        <w:sz w:val="16"/>
        <w:szCs w:val="16"/>
        <w:u w:val="single" w:color="auto"/>
        <w:color w:val="231F20"/>
        <w:spacing w:val="-61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中国现代药物应用2023年8月第17卷第16期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J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Mod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Appl,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Aug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2023,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17,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16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0"/>
      <w:spacing w:before="41" w:line="181" w:lineRule="auto"/>
      <w:jc w:val="right"/>
      <w:rPr>
        <w:rFonts w:ascii="Microsoft YaHei" w:hAnsi="Microsoft YaHei" w:eastAsia="Microsoft YaHei" w:cs="Microsoft YaHei"/>
        <w:sz w:val="21"/>
        <w:szCs w:val="21"/>
      </w:rPr>
    </w:pPr>
    <w:r>
      <w:pict>
        <v:shape id="WordPictureWatermark8" style="position:absolute;margin-left:20.4pt;margin-top:831.498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sz w:val="16"/>
        <w:szCs w:val="16"/>
        <w:u w:val="single" w:color="auto"/>
        <w:color w:val="231F20"/>
        <w:spacing w:val="-3"/>
      </w:rPr>
      <w:t>中国现代药物应用2023年8月第17卷第16期  Chin</w:t>
    </w:r>
    <w:r>
      <w:rPr>
        <w:sz w:val="16"/>
        <w:szCs w:val="16"/>
        <w:u w:val="single" w:color="auto"/>
        <w:color w:val="231F20"/>
        <w:spacing w:val="-40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J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Mod</w:t>
    </w:r>
    <w:r>
      <w:rPr>
        <w:sz w:val="16"/>
        <w:szCs w:val="16"/>
        <w:u w:val="single" w:color="auto"/>
        <w:color w:val="231F20"/>
        <w:spacing w:val="-35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Drug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Appl,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Aug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2023,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Vol.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17,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No.</w:t>
    </w:r>
    <w:r>
      <w:rPr>
        <w:sz w:val="16"/>
        <w:szCs w:val="16"/>
        <w:u w:val="single" w:color="auto"/>
        <w:color w:val="231F20"/>
        <w:spacing w:val="-23"/>
      </w:rPr>
      <w:t xml:space="preserve"> </w:t>
    </w:r>
    <w:r>
      <w:rPr>
        <w:sz w:val="16"/>
        <w:szCs w:val="16"/>
        <w:u w:val="single" w:color="auto"/>
        <w:color w:val="231F20"/>
        <w:spacing w:val="-3"/>
      </w:rPr>
      <w:t>16</w:t>
    </w:r>
    <w:r>
      <w:rPr>
        <w:sz w:val="16"/>
        <w:szCs w:val="16"/>
        <w:color w:val="231F20"/>
        <w:spacing w:val="-3"/>
      </w:rPr>
      <w:t xml:space="preserve">                                      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>·59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25"/>
        <w:w w:val="101"/>
        <w:position w:val="-1"/>
      </w:rPr>
      <w:t xml:space="preserve"> </w:t>
    </w:r>
    <w:r>
      <w:rPr>
        <w:rFonts w:ascii="Microsoft YaHei" w:hAnsi="Microsoft YaHei" w:eastAsia="Microsoft YaHei" w:cs="Microsoft YaHei"/>
        <w:sz w:val="21"/>
        <w:szCs w:val="21"/>
        <w:color w:val="231F20"/>
        <w:spacing w:val="-3"/>
        <w:position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2023-09-22T15:39:35Z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2025-10-28T21:33:19</vt:filetime>
  </property>
</Properties>
</file>