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90" w:line="217" w:lineRule="auto"/>
        <w:jc w:val="right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  <w:position w:val="-1"/>
        </w:rPr>
        <w:t>·96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  <w:position w:val="-1"/>
        </w:rPr>
        <w:t>·           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  <w:position w:val="-1"/>
        </w:rPr>
        <w:t xml:space="preserve">                             </w:t>
      </w:r>
      <w:r>
        <w:rPr>
          <w:sz w:val="16"/>
          <w:szCs w:val="16"/>
          <w:u w:val="single" w:color="auto"/>
          <w:color w:val="231F20"/>
          <w:spacing w:val="-61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中国现代药物应用2023年2月第17卷第4期  Chin</w:t>
      </w:r>
      <w:r>
        <w:rPr>
          <w:sz w:val="16"/>
          <w:szCs w:val="16"/>
          <w:u w:val="single" w:color="auto"/>
          <w:color w:val="231F20"/>
          <w:spacing w:val="-40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J</w:t>
      </w:r>
      <w:r>
        <w:rPr>
          <w:sz w:val="16"/>
          <w:szCs w:val="16"/>
          <w:u w:val="single" w:color="auto"/>
          <w:color w:val="231F20"/>
          <w:spacing w:val="-34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Mod</w:t>
      </w:r>
      <w:r>
        <w:rPr>
          <w:sz w:val="16"/>
          <w:szCs w:val="16"/>
          <w:u w:val="single" w:color="auto"/>
          <w:color w:val="231F20"/>
          <w:spacing w:val="-34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Drug</w:t>
      </w:r>
      <w:r>
        <w:rPr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Appl,</w:t>
      </w:r>
      <w:r>
        <w:rPr>
          <w:sz w:val="16"/>
          <w:szCs w:val="16"/>
          <w:u w:val="single" w:color="auto"/>
          <w:color w:val="231F20"/>
          <w:spacing w:val="-35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Feb</w:t>
      </w:r>
      <w:r>
        <w:rPr>
          <w:sz w:val="16"/>
          <w:szCs w:val="16"/>
          <w:u w:val="single" w:color="auto"/>
          <w:color w:val="231F20"/>
          <w:spacing w:val="-36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2023,</w:t>
      </w:r>
      <w:r>
        <w:rPr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Vol.</w:t>
      </w:r>
      <w:r>
        <w:rPr>
          <w:sz w:val="16"/>
          <w:szCs w:val="16"/>
          <w:u w:val="single" w:color="auto"/>
          <w:color w:val="231F20"/>
          <w:spacing w:val="-24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17,</w:t>
      </w:r>
      <w:r>
        <w:rPr>
          <w:sz w:val="16"/>
          <w:szCs w:val="16"/>
          <w:u w:val="single" w:color="auto"/>
          <w:color w:val="231F20"/>
          <w:spacing w:val="-34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No.</w:t>
      </w:r>
      <w:r>
        <w:rPr>
          <w:sz w:val="16"/>
          <w:szCs w:val="16"/>
          <w:u w:val="single" w:color="auto"/>
          <w:color w:val="231F20"/>
          <w:spacing w:val="-39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4</w:t>
      </w:r>
    </w:p>
    <w:p>
      <w:pPr>
        <w:pStyle w:val="BodyText"/>
        <w:ind w:left="640" w:right="4903" w:hanging="9"/>
        <w:spacing w:before="157" w:line="387" w:lineRule="auto"/>
        <w:rPr>
          <w:sz w:val="21"/>
          <w:szCs w:val="21"/>
        </w:rPr>
      </w:pPr>
      <w:r>
        <w:rPr>
          <w:rFonts w:ascii="SimHei" w:hAnsi="SimHei" w:eastAsia="SimHei" w:cs="SimHei"/>
          <w:sz w:val="34"/>
          <w:szCs w:val="34"/>
          <w:color w:val="231F20"/>
          <w:spacing w:val="4"/>
        </w:rPr>
        <w:t>妇科急腹症的超声诊断价值探讨</w:t>
      </w:r>
      <w:r>
        <w:rPr>
          <w:rFonts w:ascii="SimHei" w:hAnsi="SimHei" w:eastAsia="SimHei" w:cs="SimHei"/>
          <w:sz w:val="34"/>
          <w:szCs w:val="34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7"/>
        </w:rPr>
        <w:t>宗璨</w:t>
      </w:r>
    </w:p>
    <w:p>
      <w:pPr>
        <w:pStyle w:val="BodyText"/>
        <w:ind w:left="614" w:right="1701" w:firstLine="267"/>
        <w:spacing w:before="121" w:line="255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</w:rPr>
        <w:t>【摘要】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目的   </w:t>
      </w:r>
      <w:r>
        <w:rPr>
          <w:color w:val="231F20"/>
        </w:rPr>
        <w:t>分析妇科急腹症的超声诊断价值。</w:t>
      </w:r>
      <w:r>
        <w:rPr>
          <w:rFonts w:ascii="Microsoft YaHei" w:hAnsi="Microsoft YaHei" w:eastAsia="Microsoft YaHei" w:cs="Microsoft YaHei"/>
          <w:color w:val="231F20"/>
        </w:rPr>
        <w:t>方法 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  </w:t>
      </w:r>
      <w:r>
        <w:rPr>
          <w:color w:val="231F20"/>
          <w:spacing w:val="-1"/>
        </w:rPr>
        <w:t>67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例妇科急腹症患者为研究对象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均接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受超声诊断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5"/>
        </w:rPr>
        <w:t>, 以综合诊断结果为金标准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5"/>
        </w:rPr>
        <w:t>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分析超声诊断的价值。</w:t>
      </w:r>
      <w:r>
        <w:rPr>
          <w:rFonts w:ascii="Microsoft YaHei" w:hAnsi="Microsoft YaHei" w:eastAsia="Microsoft YaHei" w:cs="Microsoft YaHei"/>
          <w:color w:val="231F20"/>
          <w:spacing w:val="-5"/>
        </w:rPr>
        <w:t>结果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  </w:t>
      </w:r>
      <w:r>
        <w:rPr>
          <w:color w:val="231F20"/>
          <w:spacing w:val="-5"/>
        </w:rPr>
        <w:t>以综合诊断结果为金标准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6"/>
        </w:rPr>
        <w:t>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67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6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患者中宫外孕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7"/>
        </w:rPr>
        <w:t>21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7"/>
        </w:rPr>
        <w:t>例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7"/>
        </w:rPr>
        <w:t>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黄体破裂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7"/>
        </w:rPr>
        <w:t>6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7"/>
        </w:rPr>
        <w:t>例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7"/>
        </w:rPr>
        <w:t>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卵巢囊肿蒂扭转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17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7"/>
        </w:rPr>
        <w:t>例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7"/>
        </w:rPr>
        <w:t>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急性盆腔炎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18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7"/>
        </w:rPr>
        <w:t>例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7"/>
        </w:rPr>
        <w:t>,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子宫穿孔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7"/>
        </w:rPr>
        <w:t>5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8"/>
        </w:rPr>
        <w:t>例。经超声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诊断出急腹症患者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4"/>
        </w:rPr>
        <w:t>62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4"/>
        </w:rPr>
        <w:t>例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诊断准确率为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4"/>
        </w:rPr>
        <w:t>92.54%,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其中宫外孕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4"/>
        </w:rPr>
        <w:t>20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4"/>
        </w:rPr>
        <w:t>例、</w:t>
      </w:r>
      <w:r>
        <w:rPr>
          <w:color w:val="231F20"/>
          <w:spacing w:val="-5"/>
        </w:rPr>
        <w:t>诊断准确率为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5"/>
        </w:rPr>
        <w:t>95.24%(20/21),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黄体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破裂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6"/>
        </w:rPr>
        <w:t>5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6"/>
        </w:rPr>
        <w:t>例、诊断准确率为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83.33%(5/6),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6"/>
        </w:rPr>
        <w:t>卵巢囊肿蒂</w:t>
      </w:r>
      <w:r>
        <w:rPr>
          <w:color w:val="231F20"/>
          <w:spacing w:val="-7"/>
        </w:rPr>
        <w:t>扭转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16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7"/>
        </w:rPr>
        <w:t>例、诊断准确率为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7"/>
        </w:rPr>
        <w:t>94.12%(16/17),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7"/>
        </w:rPr>
        <w:t>急性盆腔炎</w:t>
      </w:r>
    </w:p>
    <w:p>
      <w:pPr>
        <w:pStyle w:val="BodyText"/>
        <w:ind w:left="616" w:right="1701" w:firstLine="16"/>
        <w:spacing w:before="4" w:line="251" w:lineRule="auto"/>
        <w:jc w:val="both"/>
        <w:rPr/>
      </w:pPr>
      <w:r>
        <w:rPr>
          <w:color w:val="231F20"/>
          <w:spacing w:val="-7"/>
        </w:rPr>
        <w:t>16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7"/>
        </w:rPr>
        <w:t>例、诊断准确率为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7"/>
        </w:rPr>
        <w:t>88.89%(16/18),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子宫穿孔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7"/>
        </w:rPr>
        <w:t>5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7"/>
        </w:rPr>
        <w:t>例、诊断准确率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100.00%(5/5)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7"/>
        </w:rPr>
        <w:t>；漏诊或误诊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7"/>
        </w:rPr>
        <w:t>5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7"/>
        </w:rPr>
        <w:t>例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7"/>
        </w:rPr>
        <w:t>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包括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宫外孕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1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8"/>
        </w:rPr>
        <w:t>例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8"/>
        </w:rPr>
        <w:t>,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8"/>
        </w:rPr>
        <w:t>黄体破裂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1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8"/>
        </w:rPr>
        <w:t>例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8"/>
        </w:rPr>
        <w:t>,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8"/>
        </w:rPr>
        <w:t>卵巢囊肿蒂扭转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1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8"/>
        </w:rPr>
        <w:t>例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8"/>
        </w:rPr>
        <w:t>,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8"/>
        </w:rPr>
        <w:t>急性盆腔炎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8"/>
        </w:rPr>
        <w:t>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8"/>
        </w:rPr>
        <w:t>例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8"/>
        </w:rPr>
        <w:t>, 占比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8"/>
        </w:rPr>
        <w:t>7.46%。</w:t>
      </w:r>
      <w:r>
        <w:rPr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结论   </w:t>
      </w:r>
      <w:r>
        <w:rPr>
          <w:color w:val="231F20"/>
          <w:spacing w:val="-9"/>
        </w:rPr>
        <w:t>妇科急腹症的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超声诊断价值较高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,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4"/>
        </w:rPr>
        <w:t>值得临床大力推广和应用。</w:t>
      </w:r>
    </w:p>
    <w:p>
      <w:pPr>
        <w:pStyle w:val="BodyText"/>
        <w:ind w:left="882"/>
        <w:spacing w:before="22" w:line="211" w:lineRule="auto"/>
        <w:rPr/>
      </w:pPr>
      <w:r>
        <w:rPr>
          <w:rFonts w:ascii="Microsoft YaHei" w:hAnsi="Microsoft YaHei" w:eastAsia="Microsoft YaHei" w:cs="Microsoft YaHei"/>
          <w:color w:val="231F20"/>
          <w:spacing w:val="-7"/>
        </w:rPr>
        <w:t>【关键词】</w:t>
      </w:r>
      <w:r>
        <w:rPr>
          <w:rFonts w:ascii="Microsoft YaHei" w:hAnsi="Microsoft YaHei" w:eastAsia="Microsoft YaHei" w:cs="Microsoft YaHei"/>
          <w:color w:val="231F20"/>
          <w:spacing w:val="51"/>
          <w:w w:val="101"/>
        </w:rPr>
        <w:t xml:space="preserve"> </w:t>
      </w:r>
      <w:r>
        <w:rPr>
          <w:color w:val="231F20"/>
          <w:spacing w:val="-7"/>
        </w:rPr>
        <w:t>妇科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7"/>
        </w:rPr>
        <w:t>；急腹症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7"/>
        </w:rPr>
        <w:t>；超声诊断</w:t>
      </w:r>
    </w:p>
    <w:p>
      <w:pPr>
        <w:pStyle w:val="BodyText"/>
        <w:ind w:left="987"/>
        <w:spacing w:before="14" w:line="242" w:lineRule="auto"/>
        <w:rPr/>
      </w:pPr>
      <w:r>
        <w:rPr>
          <w:color w:val="231F20"/>
          <w:spacing w:val="-12"/>
        </w:rPr>
        <w:t>DOI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2"/>
        </w:rPr>
        <w:t>：10.14164/j.cnki.cn11-5</w:t>
      </w:r>
      <w:r>
        <w:rPr>
          <w:color w:val="231F20"/>
          <w:spacing w:val="-13"/>
        </w:rPr>
        <w:t>581/r.2023.04.028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628" w:right="1675" w:hanging="10"/>
        <w:spacing w:before="53" w:line="30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 value of ultrasonography in the diagnosis of gynecological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cute abdomen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ZONG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Can. Department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Ultrasound, Shenyang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Wome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n and Infant Hospital, Shenyang 110011,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China</w:t>
      </w:r>
    </w:p>
    <w:p>
      <w:pPr>
        <w:pStyle w:val="BodyText"/>
        <w:ind w:left="617" w:right="1702" w:firstLine="265"/>
        <w:spacing w:before="1" w:line="266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-11"/>
        </w:rPr>
        <w:t>【</w:t>
      </w:r>
      <w:r>
        <w:rPr>
          <w:rFonts w:ascii="Times New Roman" w:hAnsi="Times New Roman" w:eastAsia="Times New Roman" w:cs="Times New Roman"/>
          <w:color w:val="231F20"/>
          <w:spacing w:val="-11"/>
        </w:rPr>
        <w:t>Abstract</w:t>
      </w:r>
      <w:r>
        <w:rPr>
          <w:rFonts w:ascii="Microsoft YaHei" w:hAnsi="Microsoft YaHei" w:eastAsia="Microsoft YaHei" w:cs="Microsoft YaHei"/>
          <w:color w:val="231F20"/>
          <w:spacing w:val="-11"/>
        </w:rPr>
        <w:t>】  </w:t>
      </w:r>
      <w:r>
        <w:rPr>
          <w:rFonts w:ascii="Times New Roman" w:hAnsi="Times New Roman" w:eastAsia="Times New Roman" w:cs="Times New Roman"/>
          <w:color w:val="231F20"/>
          <w:spacing w:val="-11"/>
        </w:rPr>
        <w:t>Objective    </w:t>
      </w:r>
      <w:r>
        <w:rPr>
          <w:color w:val="231F20"/>
          <w:spacing w:val="-11"/>
        </w:rPr>
        <w:t>To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analyze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value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1"/>
        </w:rPr>
        <w:t>ultrasonography in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the diagnosis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1"/>
        </w:rPr>
        <w:t>gynecological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acute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abdomen.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Methods    </w:t>
      </w:r>
      <w:r>
        <w:rPr>
          <w:color w:val="231F20"/>
          <w:spacing w:val="-12"/>
        </w:rPr>
        <w:t>67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2"/>
        </w:rPr>
        <w:t>patients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2"/>
        </w:rPr>
        <w:t>with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gynecological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2"/>
        </w:rPr>
        <w:t>acute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abd</w:t>
      </w:r>
      <w:r>
        <w:rPr>
          <w:color w:val="231F20"/>
          <w:spacing w:val="-13"/>
        </w:rPr>
        <w:t>omen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studied,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all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13"/>
        </w:rPr>
        <w:t>whom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3"/>
        </w:rPr>
        <w:t>received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3"/>
        </w:rPr>
        <w:t>ultrasonic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diagnosis, and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value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ultrasonic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diagnosis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analyzed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using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comprehensive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diagnostic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findings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as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the gold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standard.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1"/>
        </w:rPr>
        <w:t>Results     </w:t>
      </w:r>
      <w:r>
        <w:rPr>
          <w:color w:val="231F20"/>
          <w:spacing w:val="-11"/>
        </w:rPr>
        <w:t>Using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t</w:t>
      </w:r>
      <w:r>
        <w:rPr>
          <w:color w:val="231F20"/>
          <w:spacing w:val="-12"/>
        </w:rPr>
        <w:t>he comprehensive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diagnosis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results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as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gold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standard,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there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were</w:t>
      </w:r>
    </w:p>
    <w:p>
      <w:pPr>
        <w:pStyle w:val="BodyText"/>
        <w:ind w:left="613" w:right="1701" w:firstLine="3"/>
        <w:spacing w:before="3" w:line="281" w:lineRule="auto"/>
        <w:rPr/>
      </w:pPr>
      <w:r>
        <w:rPr>
          <w:color w:val="231F20"/>
          <w:spacing w:val="-16"/>
        </w:rPr>
        <w:t>21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6"/>
        </w:rPr>
        <w:t>cases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6"/>
        </w:rPr>
        <w:t>ectopic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pregnancy,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</w:rPr>
        <w:t>6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</w:rPr>
        <w:t>cases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6"/>
        </w:rPr>
        <w:t>corpus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luteum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rupture, 17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</w:rPr>
        <w:t>cases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6"/>
        </w:rPr>
        <w:t>ovarian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6"/>
        </w:rPr>
        <w:t>torsion, 18 cases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6"/>
        </w:rPr>
        <w:t>acute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pelvic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inflammatory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d</w:t>
      </w:r>
      <w:r>
        <w:rPr>
          <w:color w:val="231F20"/>
          <w:spacing w:val="-15"/>
        </w:rPr>
        <w:t>isease,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cases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5"/>
        </w:rPr>
        <w:t>uterine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perforation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67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patients.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62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cases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5"/>
        </w:rPr>
        <w:t>acute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abdomen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diagnosed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by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ultrasonography,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diagnostic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accurac</w:t>
      </w:r>
      <w:r>
        <w:rPr>
          <w:color w:val="231F20"/>
          <w:spacing w:val="-14"/>
        </w:rPr>
        <w:t>y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rate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4"/>
        </w:rPr>
        <w:t>92.54%,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including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20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cases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ectopic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pregnancy,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with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6"/>
        </w:rPr>
        <w:t>a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6"/>
        </w:rPr>
        <w:t>diagnostic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6"/>
        </w:rPr>
        <w:t>accuracy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6"/>
        </w:rPr>
        <w:t>rate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6"/>
        </w:rPr>
        <w:t>95.24%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(20/21);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6"/>
        </w:rPr>
        <w:t>5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6"/>
        </w:rPr>
        <w:t>cases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6"/>
        </w:rPr>
        <w:t>corpus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6"/>
        </w:rPr>
        <w:t>luteum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6"/>
        </w:rPr>
        <w:t>rupture,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6"/>
        </w:rPr>
        <w:t>with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6"/>
        </w:rPr>
        <w:t>a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6"/>
        </w:rPr>
        <w:t>diagnostic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accuracy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5"/>
        </w:rPr>
        <w:t>rate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5"/>
        </w:rPr>
        <w:t>83.33%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(5/6); 16 cases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5"/>
        </w:rPr>
        <w:t>ovarian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torsion,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6"/>
        </w:rPr>
        <w:t>with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diagnostic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accuracy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rate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6"/>
        </w:rPr>
        <w:t>94.12%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</w:rPr>
        <w:t>(16/17);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16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6"/>
        </w:rPr>
        <w:t>cases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16"/>
        </w:rPr>
        <w:t>acute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6"/>
        </w:rPr>
        <w:t>pelvic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6"/>
        </w:rPr>
        <w:t>inflammatory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6"/>
        </w:rPr>
        <w:t>disease,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6"/>
        </w:rPr>
        <w:t>wi</w:t>
      </w:r>
      <w:r>
        <w:rPr>
          <w:color w:val="231F20"/>
          <w:spacing w:val="-17"/>
        </w:rPr>
        <w:t>th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a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diagnostic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accuracy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7"/>
        </w:rPr>
        <w:t>rate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17"/>
        </w:rPr>
        <w:t>88.89%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7"/>
        </w:rPr>
        <w:t>(16/18);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5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cases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17"/>
        </w:rPr>
        <w:t>uterine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perforation,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5"/>
        </w:rPr>
        <w:t>with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diagnostic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accuracy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5"/>
        </w:rPr>
        <w:t>rate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100.00%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5"/>
        </w:rPr>
        <w:t>(5/5).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cases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5"/>
        </w:rPr>
        <w:t>were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missed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or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5"/>
        </w:rPr>
        <w:t>misdiagnosed,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inclu</w:t>
      </w:r>
      <w:r>
        <w:rPr>
          <w:color w:val="231F20"/>
          <w:spacing w:val="-16"/>
        </w:rPr>
        <w:t>ding</w:t>
      </w:r>
    </w:p>
    <w:p>
      <w:pPr>
        <w:pStyle w:val="BodyText"/>
        <w:ind w:left="617" w:right="1701" w:firstLine="14"/>
        <w:spacing w:before="45" w:line="272" w:lineRule="auto"/>
        <w:rPr/>
      </w:pPr>
      <w:r>
        <w:rPr>
          <w:color w:val="231F20"/>
          <w:spacing w:val="-17"/>
        </w:rPr>
        <w:t>1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7"/>
        </w:rPr>
        <w:t>case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7"/>
        </w:rPr>
        <w:t>ectopic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7"/>
        </w:rPr>
        <w:t>pregnancy,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7"/>
        </w:rPr>
        <w:t>1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7"/>
        </w:rPr>
        <w:t>case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7"/>
        </w:rPr>
        <w:t>corpus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7"/>
        </w:rPr>
        <w:t>luteum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7"/>
        </w:rPr>
        <w:t>rupture,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7"/>
        </w:rPr>
        <w:t>1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7"/>
        </w:rPr>
        <w:t>case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7"/>
        </w:rPr>
        <w:t>ovarian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7"/>
        </w:rPr>
        <w:t>torsion,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7"/>
        </w:rPr>
        <w:t>2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7"/>
        </w:rPr>
        <w:t>cases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7"/>
        </w:rPr>
        <w:t>acute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7"/>
        </w:rPr>
        <w:t>pelvic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inflammatory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3"/>
        </w:rPr>
        <w:t>disease,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accounting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3"/>
        </w:rPr>
        <w:t>for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3"/>
        </w:rPr>
        <w:t>7.46%.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3"/>
        </w:rPr>
        <w:t>Co</w:t>
      </w:r>
      <w:r>
        <w:rPr>
          <w:rFonts w:ascii="Times New Roman" w:hAnsi="Times New Roman" w:eastAsia="Times New Roman" w:cs="Times New Roman"/>
          <w:color w:val="231F20"/>
          <w:spacing w:val="-14"/>
        </w:rPr>
        <w:t>nclusion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  </w:t>
      </w:r>
      <w:r>
        <w:rPr>
          <w:color w:val="231F20"/>
          <w:spacing w:val="-14"/>
        </w:rPr>
        <w:t>Ultrasonic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4"/>
        </w:rPr>
        <w:t>diagnosis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4"/>
        </w:rPr>
        <w:t>gynecological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acute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4"/>
        </w:rPr>
        <w:t>abdomen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4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17"/>
        </w:rPr>
        <w:t>high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7"/>
        </w:rPr>
        <w:t>value,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is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7"/>
        </w:rPr>
        <w:t>worthy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17"/>
        </w:rPr>
        <w:t>clinical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7"/>
        </w:rPr>
        <w:t>promotion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applicati</w:t>
      </w:r>
      <w:r>
        <w:rPr>
          <w:color w:val="231F20"/>
          <w:spacing w:val="-18"/>
        </w:rPr>
        <w:t>on.</w:t>
      </w:r>
    </w:p>
    <w:p>
      <w:pPr>
        <w:pStyle w:val="BodyText"/>
        <w:ind w:left="882"/>
        <w:spacing w:before="38" w:line="200" w:lineRule="auto"/>
        <w:rPr/>
      </w:pPr>
      <w:r>
        <w:rPr>
          <w:rFonts w:ascii="Microsoft YaHei" w:hAnsi="Microsoft YaHei" w:eastAsia="Microsoft YaHei" w:cs="Microsoft YaHei"/>
          <w:color w:val="231F20"/>
          <w:spacing w:val="-9"/>
        </w:rPr>
        <w:t>【</w:t>
      </w:r>
      <w:r>
        <w:rPr>
          <w:rFonts w:ascii="Times New Roman" w:hAnsi="Times New Roman" w:eastAsia="Times New Roman" w:cs="Times New Roman"/>
          <w:color w:val="231F20"/>
          <w:spacing w:val="-9"/>
        </w:rPr>
        <w:t>Key words </w:t>
      </w:r>
      <w:r>
        <w:rPr>
          <w:rFonts w:ascii="Microsoft YaHei" w:hAnsi="Microsoft YaHei" w:eastAsia="Microsoft YaHei" w:cs="Microsoft YaHei"/>
          <w:color w:val="231F20"/>
          <w:spacing w:val="-9"/>
        </w:rPr>
        <w:t>】</w:t>
      </w:r>
      <w:r>
        <w:rPr>
          <w:rFonts w:ascii="Microsoft YaHei" w:hAnsi="Microsoft YaHei" w:eastAsia="Microsoft YaHei" w:cs="Microsoft YaHei"/>
          <w:color w:val="231F20"/>
          <w:spacing w:val="25"/>
        </w:rPr>
        <w:t xml:space="preserve"> </w:t>
      </w:r>
      <w:r>
        <w:rPr>
          <w:color w:val="231F20"/>
          <w:spacing w:val="-9"/>
        </w:rPr>
        <w:t>Gynecology;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0"/>
        </w:rPr>
        <w:t>Acute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0"/>
        </w:rPr>
        <w:t>abdomen;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0"/>
        </w:rPr>
        <w:t>Ultrasonic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0"/>
        </w:rPr>
        <w:t>diagnosis</w:t>
      </w:r>
    </w:p>
    <w:p>
      <w:pPr>
        <w:spacing w:before="9"/>
        <w:rPr/>
      </w:pPr>
      <w:r/>
    </w:p>
    <w:p>
      <w:pPr>
        <w:sectPr>
          <w:headerReference w:type="default" r:id="rId1"/>
          <w:pgSz w:w="11906" w:h="16838"/>
          <w:pgMar w:top="400" w:right="1132" w:bottom="0" w:left="407" w:header="0" w:footer="0" w:gutter="0"/>
          <w:cols w:equalWidth="0" w:num="1">
            <w:col w:w="10365" w:space="0"/>
          </w:cols>
        </w:sectPr>
        <w:rPr/>
      </w:pPr>
    </w:p>
    <w:p>
      <w:pPr>
        <w:ind w:left="614" w:right="164" w:firstLine="432"/>
        <w:spacing w:before="45" w:line="21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随着社会的不断进步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女性地位不断提高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在生产生活中扮演着重要的角色。通常女性在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家庭和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工作中都会承担着较大压力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加之女性特有的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一些生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理特点 , 两者相互作用 , 常会对女性健康造成一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些健康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隐患 , 近年来女性健康问题越来越突出 , 引得社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会广泛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关注 , 通过有效的方式解决女性健康问题已迫在眉睫。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妇科急腹症是临床上常见的妇科疾病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主要是指由某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种或多种妇科疾病单独或相互作用而形成的突发性剧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烈急性腹痛的情况 , 其可以是在原有较轻腹痛的基础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上突然升级发展成剧烈性腹痛 , 亦可以在原本没有任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何腹痛的情况下极速、突发的剧烈性腹痛 , 该病可能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由盆腔炎、异位妊娠、盆腔器官损伤、子宫积液等疾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病引起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且具有起病急、发展快、初期不易发现、危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4" style="position:absolute;margin-left:30.8361pt;margin-top:3.11858pt;mso-position-vertical-relative:text;mso-position-horizontal-relative:text;width:70.9pt;height:0.45pt;z-index:251658240;" filled="false" strokecolor="#231F20" strokeweight="0.43pt" coordsize="1418,8" coordorigin="0,0" path="m0,4l1417,4e">
            <v:stroke joinstyle="miter" miterlimit="10"/>
          </v:shape>
        </w:pict>
      </w:r>
      <w:r/>
    </w:p>
    <w:p>
      <w:pPr>
        <w:pStyle w:val="BodyText"/>
        <w:ind w:left="898"/>
        <w:spacing w:before="52" w:line="17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作者单位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3"/>
        </w:rPr>
        <w:t>：110011  沈阳市妇婴医院超声科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3"/>
        <w:spacing w:before="46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险性大的特点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已对当今社会的女性健康造成重大影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响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严重威胁了女性的生命健康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降低女性的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生活品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质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3"/>
          <w:position w:val="8"/>
        </w:rPr>
        <w:t>［1,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4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3"/>
          <w:position w:val="8"/>
        </w:rPr>
        <w:t>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。如未及时采取有效的治疗措施可能会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造成严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重后果 , 所以早发现、早确诊、早治疗对于该病的治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疗具有巨大意义。如今超声技术飞速发展 , 认可度高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已广泛的被应用到临床上。故本文以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2020 年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2 月 ~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2021 年 1 月收治的妇科急腹症患者为例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进行超声诊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断 , 分析其应用价值。现报告如下。</w:t>
      </w:r>
    </w:p>
    <w:p>
      <w:pPr>
        <w:ind w:left="10"/>
        <w:spacing w:before="1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资料与方法</w:t>
      </w:r>
    </w:p>
    <w:p>
      <w:pPr>
        <w:pStyle w:val="BodyText"/>
        <w:ind w:left="1" w:firstLine="8"/>
        <w:spacing w:before="19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1    </w:t>
      </w:r>
      <w:r>
        <w:rPr>
          <w:sz w:val="20"/>
          <w:szCs w:val="20"/>
          <w:color w:val="231F20"/>
          <w:spacing w:val="-8"/>
        </w:rPr>
        <w:t>一般资料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纳入 2020 年 2 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~2021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月期间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至本院妇科治疗的急腹症患者 67 例为研究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对象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年龄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最小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22 岁 , 最大 29 岁 , 平均年龄 (25.53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±1.32) 岁。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组患者均出现下腹部疼痛、恶心、阴道出血、盆腔包</w:t>
      </w:r>
    </w:p>
    <w:p>
      <w:pPr>
        <w:spacing w:line="210" w:lineRule="auto"/>
        <w:sectPr>
          <w:type w:val="continuous"/>
          <w:pgSz w:w="11906" w:h="16838"/>
          <w:pgMar w:top="400" w:right="1132" w:bottom="0" w:left="407" w:header="0" w:footer="0" w:gutter="0"/>
          <w:cols w:equalWidth="0" w:num="2">
            <w:col w:w="5561" w:space="100"/>
            <w:col w:w="4705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2"/>
          <w:pgSz w:w="11906" w:h="16838"/>
          <w:pgMar w:top="1372" w:right="940" w:bottom="0" w:left="407" w:header="1049" w:footer="0" w:gutter="0"/>
          <w:cols w:equalWidth="0" w:num="1">
            <w:col w:w="10558" w:space="0"/>
          </w:cols>
        </w:sectPr>
        <w:rPr/>
      </w:pPr>
    </w:p>
    <w:p>
      <w:pPr>
        <w:ind w:left="731" w:right="242" w:hanging="2"/>
        <w:spacing w:before="53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块症状 , 且经综合诊断确诊为妇科急腹症。本项研究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征得医学伦理委员会的批准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且所有患者知情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家属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同意。</w:t>
      </w:r>
    </w:p>
    <w:p>
      <w:pPr>
        <w:pStyle w:val="BodyText"/>
        <w:ind w:left="729" w:right="165" w:firstLine="9"/>
        <w:spacing w:before="3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2    </w:t>
      </w:r>
      <w:r>
        <w:rPr>
          <w:sz w:val="20"/>
          <w:szCs w:val="20"/>
          <w:color w:val="231F20"/>
          <w:spacing w:val="1"/>
        </w:rPr>
        <w:t>诊断方法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本组 67 例患者均实施超声诊断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用仪器为 Aloka-SSD620 型超声显像仪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经腹部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超声诊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断探头频率设置为 2.5~3.5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MHz,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经阴道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超声诊断探头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频率设置为 5~7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MHz。腹部超声诊断前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无需患者排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空膀胱 , 协助取仰卧体位 ；阴道超声诊断时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叮嘱患者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充分排空膀胱 , 协助取膀胱截石位 ；充分扫描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, 观察患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者子宫大小、子宫形态、宫腔积液、有无孕囊、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腹腔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8"/>
        </w:rPr>
        <w:t>有无积液、盆腔有无肿块以及肿块的性质、大小和形态。</w:t>
      </w:r>
    </w:p>
    <w:p>
      <w:pPr>
        <w:pStyle w:val="BodyText"/>
        <w:ind w:left="729" w:right="243" w:firstLine="9"/>
        <w:spacing w:before="41" w:line="19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3    </w:t>
      </w:r>
      <w:r>
        <w:rPr>
          <w:sz w:val="20"/>
          <w:szCs w:val="20"/>
          <w:color w:val="231F20"/>
        </w:rPr>
        <w:t>观察指标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以综合诊断结果为金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标准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分析患者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超声诊断结果。</w:t>
      </w:r>
    </w:p>
    <w:p>
      <w:pPr>
        <w:spacing w:line="6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/>
        <w:spacing w:before="44" w:line="203" w:lineRule="auto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结果</w:t>
      </w:r>
    </w:p>
    <w:p>
      <w:pPr>
        <w:ind w:firstLine="437"/>
        <w:spacing w:before="25" w:line="21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以综合诊断结果为金标准 , 67 例患者中宫外孕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21 例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黄体破裂 6 例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卵巢囊肿蒂扭转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17 例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急性盆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腔炎 18 例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子宫穿孔 5 例。经超声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诊断出急腹症患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者 62 例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为 92.54%,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孕 20 例、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诊断准确率为 95.24%(20/21),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黄体破裂 5 例、诊断准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为 83.33%(5/6),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巢囊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16 例、诊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确率为 94.12%(16/17),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急性盆腔炎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16 例、诊断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准确率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为 88.89%(16/18),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子宫穿孔 5 例、诊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断准确率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100.00%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(5/5)；漏诊或误诊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, 包括宫外孕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, 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体破裂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卵巢囊肿蒂扭转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1 例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急性盆腔炎 2 例 ,  占比 7.46%。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1。</w:t>
      </w:r>
    </w:p>
    <w:p>
      <w:pPr>
        <w:spacing w:line="211" w:lineRule="auto"/>
        <w:sectPr>
          <w:type w:val="continuous"/>
          <w:pgSz w:w="11906" w:h="16838"/>
          <w:pgMar w:top="1372" w:right="940" w:bottom="0" w:left="407" w:header="1049" w:footer="0" w:gutter="0"/>
          <w:cols w:equalWidth="0" w:num="2">
            <w:col w:w="5674" w:space="100"/>
            <w:col w:w="478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3932"/>
        <w:spacing w:before="53" w:line="190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4"/>
        </w:rPr>
        <w:t>表 </w:t>
      </w:r>
      <w:r>
        <w:rPr>
          <w:rFonts w:ascii="Times New Roman" w:hAnsi="Times New Roman" w:eastAsia="Times New Roman" w:cs="Times New Roman"/>
          <w:color w:val="231F20"/>
          <w:spacing w:val="-4"/>
        </w:rPr>
        <w:t>1    </w:t>
      </w:r>
      <w:r>
        <w:rPr>
          <w:color w:val="231F20"/>
          <w:spacing w:val="-4"/>
        </w:rPr>
        <w:t>67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4"/>
        </w:rPr>
        <w:t>例患者的超声诊断结果分析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(</w:t>
      </w:r>
      <w:r>
        <w:rPr>
          <w:color w:val="231F20"/>
          <w:spacing w:val="-5"/>
        </w:rPr>
        <w:t>n,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5"/>
        </w:rPr>
        <w:t>%)</w:t>
      </w:r>
    </w:p>
    <w:tbl>
      <w:tblPr>
        <w:tblStyle w:val="TableNormal"/>
        <w:tblW w:w="9751" w:type="dxa"/>
        <w:tblInd w:w="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75"/>
        <w:gridCol w:w="2319"/>
        <w:gridCol w:w="2638"/>
        <w:gridCol w:w="2319"/>
      </w:tblGrid>
      <w:tr>
        <w:trPr>
          <w:trHeight w:val="296" w:hRule="atLeast"/>
        </w:trPr>
        <w:tc>
          <w:tcPr>
            <w:tcW w:w="247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00"/>
              <w:spacing w:before="69" w:line="211" w:lineRule="auto"/>
              <w:rPr/>
            </w:pPr>
            <w:r>
              <w:rPr>
                <w:color w:val="231F20"/>
                <w:spacing w:val="-1"/>
              </w:rPr>
              <w:t>诊断类型</w:t>
            </w:r>
          </w:p>
        </w:tc>
        <w:tc>
          <w:tcPr>
            <w:tcW w:w="231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03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综合诊断结果</w:t>
            </w:r>
          </w:p>
        </w:tc>
        <w:tc>
          <w:tcPr>
            <w:tcW w:w="263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63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超声诊断准确例数</w:t>
            </w:r>
          </w:p>
        </w:tc>
        <w:tc>
          <w:tcPr>
            <w:tcW w:w="231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02"/>
              <w:spacing w:before="68" w:line="214" w:lineRule="auto"/>
              <w:rPr/>
            </w:pPr>
            <w:r>
              <w:rPr>
                <w:color w:val="231F20"/>
                <w:spacing w:val="-1"/>
              </w:rPr>
              <w:t>诊断准确率</w:t>
            </w:r>
          </w:p>
        </w:tc>
      </w:tr>
      <w:tr>
        <w:trPr>
          <w:trHeight w:val="291" w:hRule="atLeast"/>
        </w:trPr>
        <w:tc>
          <w:tcPr>
            <w:tcW w:w="24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83"/>
              <w:spacing w:before="70" w:line="210" w:lineRule="auto"/>
              <w:rPr/>
            </w:pPr>
            <w:r>
              <w:rPr>
                <w:color w:val="231F20"/>
                <w:spacing w:val="-1"/>
              </w:rPr>
              <w:t>宫外孕</w:t>
            </w:r>
          </w:p>
        </w:tc>
        <w:tc>
          <w:tcPr>
            <w:tcW w:w="23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06"/>
              <w:spacing w:before="65" w:line="215" w:lineRule="exact"/>
              <w:rPr/>
            </w:pPr>
            <w:r>
              <w:rPr>
                <w:color w:val="231F20"/>
                <w:spacing w:val="-2"/>
                <w:position w:val="1"/>
              </w:rPr>
              <w:t>21</w:t>
            </w:r>
          </w:p>
        </w:tc>
        <w:tc>
          <w:tcPr>
            <w:tcW w:w="26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25"/>
              <w:spacing w:before="65" w:line="215" w:lineRule="exact"/>
              <w:rPr/>
            </w:pPr>
            <w:r>
              <w:rPr>
                <w:color w:val="231F20"/>
                <w:spacing w:val="-2"/>
                <w:position w:val="1"/>
              </w:rPr>
              <w:t>20</w:t>
            </w:r>
          </w:p>
        </w:tc>
        <w:tc>
          <w:tcPr>
            <w:tcW w:w="23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25"/>
              <w:spacing w:before="65" w:line="215" w:lineRule="exact"/>
              <w:rPr/>
            </w:pPr>
            <w:r>
              <w:rPr>
                <w:color w:val="231F20"/>
                <w:spacing w:val="-8"/>
                <w:position w:val="1"/>
              </w:rPr>
              <w:t>95.24</w:t>
            </w:r>
          </w:p>
        </w:tc>
      </w:tr>
      <w:tr>
        <w:trPr>
          <w:trHeight w:val="300" w:hRule="atLeast"/>
        </w:trPr>
        <w:tc>
          <w:tcPr>
            <w:tcW w:w="2475" w:type="dxa"/>
            <w:vAlign w:val="top"/>
          </w:tcPr>
          <w:p>
            <w:pPr>
              <w:pStyle w:val="TableText"/>
              <w:ind w:left="904"/>
              <w:spacing w:before="76" w:line="214" w:lineRule="auto"/>
              <w:rPr/>
            </w:pPr>
            <w:r>
              <w:rPr>
                <w:color w:val="231F20"/>
                <w:spacing w:val="-2"/>
              </w:rPr>
              <w:t>黄体破裂</w:t>
            </w:r>
          </w:p>
        </w:tc>
        <w:tc>
          <w:tcPr>
            <w:tcW w:w="2319" w:type="dxa"/>
            <w:vAlign w:val="top"/>
          </w:tcPr>
          <w:p>
            <w:pPr>
              <w:pStyle w:val="TableText"/>
              <w:ind w:left="1146"/>
              <w:spacing w:before="75" w:line="215" w:lineRule="exact"/>
              <w:rPr/>
            </w:pPr>
            <w:r>
              <w:rPr>
                <w:color w:val="231F20"/>
                <w:position w:val="1"/>
              </w:rPr>
              <w:t>6</w:t>
            </w:r>
          </w:p>
        </w:tc>
        <w:tc>
          <w:tcPr>
            <w:tcW w:w="2638" w:type="dxa"/>
            <w:vAlign w:val="top"/>
          </w:tcPr>
          <w:p>
            <w:pPr>
              <w:pStyle w:val="TableText"/>
              <w:ind w:left="1264"/>
              <w:spacing w:before="75" w:line="215" w:lineRule="exact"/>
              <w:rPr/>
            </w:pPr>
            <w:r>
              <w:rPr>
                <w:color w:val="231F20"/>
                <w:position w:val="1"/>
              </w:rPr>
              <w:t>5</w:t>
            </w:r>
          </w:p>
        </w:tc>
        <w:tc>
          <w:tcPr>
            <w:tcW w:w="2319" w:type="dxa"/>
            <w:vAlign w:val="top"/>
          </w:tcPr>
          <w:p>
            <w:pPr>
              <w:pStyle w:val="TableText"/>
              <w:ind w:left="927"/>
              <w:spacing w:before="75" w:line="215" w:lineRule="exact"/>
              <w:rPr/>
            </w:pPr>
            <w:r>
              <w:rPr>
                <w:color w:val="231F20"/>
                <w:spacing w:val="-8"/>
                <w:position w:val="1"/>
              </w:rPr>
              <w:t>83.33</w:t>
            </w:r>
          </w:p>
        </w:tc>
      </w:tr>
      <w:tr>
        <w:trPr>
          <w:trHeight w:val="301" w:hRule="atLeast"/>
        </w:trPr>
        <w:tc>
          <w:tcPr>
            <w:tcW w:w="2475" w:type="dxa"/>
            <w:vAlign w:val="top"/>
          </w:tcPr>
          <w:p>
            <w:pPr>
              <w:pStyle w:val="TableText"/>
              <w:ind w:left="666"/>
              <w:spacing w:before="79" w:line="212" w:lineRule="auto"/>
              <w:rPr/>
            </w:pPr>
            <w:r>
              <w:rPr>
                <w:color w:val="231F20"/>
                <w:spacing w:val="-1"/>
              </w:rPr>
              <w:t>卵巢囊肿蒂扭转</w:t>
            </w:r>
          </w:p>
        </w:tc>
        <w:tc>
          <w:tcPr>
            <w:tcW w:w="2319" w:type="dxa"/>
            <w:vAlign w:val="top"/>
          </w:tcPr>
          <w:p>
            <w:pPr>
              <w:pStyle w:val="TableText"/>
              <w:ind w:left="1119"/>
              <w:spacing w:before="75" w:line="215" w:lineRule="exact"/>
              <w:rPr/>
            </w:pPr>
            <w:r>
              <w:rPr>
                <w:color w:val="231F20"/>
                <w:spacing w:val="-5"/>
                <w:position w:val="1"/>
              </w:rPr>
              <w:t>17</w:t>
            </w:r>
          </w:p>
        </w:tc>
        <w:tc>
          <w:tcPr>
            <w:tcW w:w="2638" w:type="dxa"/>
            <w:vAlign w:val="top"/>
          </w:tcPr>
          <w:p>
            <w:pPr>
              <w:pStyle w:val="TableText"/>
              <w:ind w:left="1238"/>
              <w:spacing w:before="75" w:line="215" w:lineRule="exact"/>
              <w:rPr/>
            </w:pPr>
            <w:r>
              <w:rPr>
                <w:color w:val="231F20"/>
                <w:spacing w:val="-5"/>
                <w:position w:val="1"/>
              </w:rPr>
              <w:t>16</w:t>
            </w:r>
          </w:p>
        </w:tc>
        <w:tc>
          <w:tcPr>
            <w:tcW w:w="2319" w:type="dxa"/>
            <w:vAlign w:val="top"/>
          </w:tcPr>
          <w:p>
            <w:pPr>
              <w:pStyle w:val="TableText"/>
              <w:ind w:left="925"/>
              <w:spacing w:before="75" w:line="215" w:lineRule="exact"/>
              <w:rPr/>
            </w:pPr>
            <w:r>
              <w:rPr>
                <w:color w:val="231F20"/>
                <w:spacing w:val="-8"/>
                <w:position w:val="1"/>
              </w:rPr>
              <w:t>94.12</w:t>
            </w:r>
          </w:p>
        </w:tc>
      </w:tr>
      <w:tr>
        <w:trPr>
          <w:trHeight w:val="298" w:hRule="atLeast"/>
        </w:trPr>
        <w:tc>
          <w:tcPr>
            <w:tcW w:w="2475" w:type="dxa"/>
            <w:vAlign w:val="top"/>
          </w:tcPr>
          <w:p>
            <w:pPr>
              <w:pStyle w:val="TableText"/>
              <w:ind w:left="824"/>
              <w:spacing w:before="81" w:line="208" w:lineRule="auto"/>
              <w:rPr/>
            </w:pPr>
            <w:r>
              <w:rPr>
                <w:color w:val="231F20"/>
                <w:spacing w:val="-1"/>
              </w:rPr>
              <w:t>急性盆腔炎</w:t>
            </w:r>
          </w:p>
        </w:tc>
        <w:tc>
          <w:tcPr>
            <w:tcW w:w="2319" w:type="dxa"/>
            <w:vAlign w:val="top"/>
          </w:tcPr>
          <w:p>
            <w:pPr>
              <w:pStyle w:val="TableText"/>
              <w:ind w:left="1119"/>
              <w:spacing w:before="75" w:line="212" w:lineRule="exact"/>
              <w:rPr/>
            </w:pPr>
            <w:r>
              <w:rPr>
                <w:color w:val="231F20"/>
                <w:spacing w:val="-5"/>
                <w:position w:val="1"/>
              </w:rPr>
              <w:t>18</w:t>
            </w:r>
          </w:p>
        </w:tc>
        <w:tc>
          <w:tcPr>
            <w:tcW w:w="2638" w:type="dxa"/>
            <w:vAlign w:val="top"/>
          </w:tcPr>
          <w:p>
            <w:pPr>
              <w:pStyle w:val="TableText"/>
              <w:ind w:left="1238"/>
              <w:spacing w:before="75" w:line="212" w:lineRule="exact"/>
              <w:rPr/>
            </w:pPr>
            <w:r>
              <w:rPr>
                <w:color w:val="231F20"/>
                <w:spacing w:val="-5"/>
                <w:position w:val="1"/>
              </w:rPr>
              <w:t>16</w:t>
            </w:r>
          </w:p>
        </w:tc>
        <w:tc>
          <w:tcPr>
            <w:tcW w:w="2319" w:type="dxa"/>
            <w:vAlign w:val="top"/>
          </w:tcPr>
          <w:p>
            <w:pPr>
              <w:pStyle w:val="TableText"/>
              <w:ind w:left="927"/>
              <w:spacing w:before="75" w:line="212" w:lineRule="exact"/>
              <w:rPr/>
            </w:pPr>
            <w:r>
              <w:rPr>
                <w:color w:val="231F20"/>
                <w:spacing w:val="-8"/>
                <w:position w:val="1"/>
              </w:rPr>
              <w:t>88.89</w:t>
            </w:r>
          </w:p>
        </w:tc>
      </w:tr>
      <w:tr>
        <w:trPr>
          <w:trHeight w:val="299" w:hRule="atLeast"/>
        </w:trPr>
        <w:tc>
          <w:tcPr>
            <w:tcW w:w="2475" w:type="dxa"/>
            <w:vAlign w:val="top"/>
          </w:tcPr>
          <w:p>
            <w:pPr>
              <w:pStyle w:val="TableText"/>
              <w:ind w:left="903"/>
              <w:spacing w:before="82" w:line="210" w:lineRule="auto"/>
              <w:rPr/>
            </w:pPr>
            <w:r>
              <w:rPr>
                <w:color w:val="231F20"/>
                <w:spacing w:val="-1"/>
              </w:rPr>
              <w:t>子宫穿孔</w:t>
            </w:r>
          </w:p>
        </w:tc>
        <w:tc>
          <w:tcPr>
            <w:tcW w:w="2319" w:type="dxa"/>
            <w:vAlign w:val="top"/>
          </w:tcPr>
          <w:p>
            <w:pPr>
              <w:pStyle w:val="TableText"/>
              <w:ind w:left="1146"/>
              <w:spacing w:before="78" w:line="211" w:lineRule="exact"/>
              <w:rPr/>
            </w:pPr>
            <w:r>
              <w:rPr>
                <w:color w:val="231F20"/>
                <w:position w:val="1"/>
              </w:rPr>
              <w:t>5</w:t>
            </w:r>
          </w:p>
        </w:tc>
        <w:tc>
          <w:tcPr>
            <w:tcW w:w="2638" w:type="dxa"/>
            <w:vAlign w:val="top"/>
          </w:tcPr>
          <w:p>
            <w:pPr>
              <w:pStyle w:val="TableText"/>
              <w:ind w:left="1264"/>
              <w:spacing w:before="78" w:line="211" w:lineRule="exact"/>
              <w:rPr/>
            </w:pPr>
            <w:r>
              <w:rPr>
                <w:color w:val="231F20"/>
                <w:position w:val="1"/>
              </w:rPr>
              <w:t>5</w:t>
            </w:r>
          </w:p>
        </w:tc>
        <w:tc>
          <w:tcPr>
            <w:tcW w:w="2319" w:type="dxa"/>
            <w:vAlign w:val="top"/>
          </w:tcPr>
          <w:p>
            <w:pPr>
              <w:pStyle w:val="TableText"/>
              <w:ind w:left="899"/>
              <w:spacing w:before="78" w:line="211" w:lineRule="exact"/>
              <w:rPr/>
            </w:pPr>
            <w:r>
              <w:rPr>
                <w:color w:val="231F20"/>
                <w:spacing w:val="-9"/>
                <w:position w:val="1"/>
              </w:rPr>
              <w:t>100.00</w:t>
            </w:r>
          </w:p>
        </w:tc>
      </w:tr>
      <w:tr>
        <w:trPr>
          <w:trHeight w:val="308" w:hRule="atLeast"/>
        </w:trPr>
        <w:tc>
          <w:tcPr>
            <w:tcW w:w="24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61"/>
              <w:spacing w:before="83" w:line="214" w:lineRule="auto"/>
              <w:rPr/>
            </w:pPr>
            <w:r>
              <w:rPr>
                <w:color w:val="231F20"/>
                <w:spacing w:val="-1"/>
              </w:rPr>
              <w:t>合计</w:t>
            </w:r>
          </w:p>
        </w:tc>
        <w:tc>
          <w:tcPr>
            <w:tcW w:w="231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107"/>
              <w:spacing w:before="79" w:line="218" w:lineRule="exact"/>
              <w:rPr/>
            </w:pPr>
            <w:r>
              <w:rPr>
                <w:color w:val="231F20"/>
                <w:spacing w:val="-2"/>
                <w:position w:val="1"/>
              </w:rPr>
              <w:t>67</w:t>
            </w:r>
          </w:p>
        </w:tc>
        <w:tc>
          <w:tcPr>
            <w:tcW w:w="263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25"/>
              <w:spacing w:before="79" w:line="218" w:lineRule="exact"/>
              <w:rPr/>
            </w:pPr>
            <w:r>
              <w:rPr>
                <w:color w:val="231F20"/>
                <w:spacing w:val="-2"/>
                <w:position w:val="1"/>
              </w:rPr>
              <w:t>62</w:t>
            </w:r>
          </w:p>
        </w:tc>
        <w:tc>
          <w:tcPr>
            <w:tcW w:w="231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25"/>
              <w:spacing w:before="79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92.54</w:t>
            </w:r>
          </w:p>
        </w:tc>
      </w:tr>
    </w:tbl>
    <w:p>
      <w:pPr>
        <w:spacing w:line="119" w:lineRule="exact"/>
        <w:rPr>
          <w:rFonts w:ascii="Arial"/>
          <w:sz w:val="10"/>
        </w:rPr>
      </w:pPr>
      <w:r/>
    </w:p>
    <w:p>
      <w:pPr>
        <w:spacing w:line="119" w:lineRule="exact"/>
        <w:sectPr>
          <w:type w:val="continuous"/>
          <w:pgSz w:w="11906" w:h="16838"/>
          <w:pgMar w:top="1372" w:right="940" w:bottom="0" w:left="407" w:header="1049" w:footer="0" w:gutter="0"/>
          <w:cols w:equalWidth="0" w:num="1">
            <w:col w:w="10558" w:space="0"/>
          </w:cols>
        </w:sectPr>
        <w:rPr>
          <w:rFonts w:ascii="Arial" w:hAnsi="Arial" w:eastAsia="Arial" w:cs="Arial"/>
          <w:sz w:val="10"/>
          <w:szCs w:val="10"/>
        </w:rPr>
      </w:pPr>
    </w:p>
    <w:p>
      <w:pPr>
        <w:ind w:left="729"/>
        <w:spacing w:before="45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讨论</w:t>
      </w:r>
    </w:p>
    <w:p>
      <w:pPr>
        <w:ind w:left="728" w:right="162" w:firstLine="421"/>
        <w:spacing w:before="14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通常 , 妇科急腹症是因妇科疾病所致的腹痛症状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可能首次发生 , 亦可能原本疼痛加剧 ,  目前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主要的妇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科急腹症病因有异位妊娠、卵巢肿瘤蒂扭转、黄体破裂、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急性盆腔炎、子宫穿孔等 , 严重影响患者生活质量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4"/>
          <w:position w:val="9"/>
        </w:rPr>
        <w:t>［3］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</w:p>
    <w:p>
      <w:pPr>
        <w:ind w:left="729" w:right="161" w:firstLine="421"/>
        <w:spacing w:before="14" w:line="20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宫外孕是发生在宫腔内膜外的妊娠症状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主要发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病部位在输卵管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宫外孕破裂和流产是常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见妇科急腹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症 , 多见于育龄女性人群 , 临床症状以腹痛、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停经、阴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道出血为主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需要加强临床检查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积极鉴别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"/>
          <w:position w:val="9"/>
        </w:rPr>
        <w:t>［4］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。卵巢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肿瘤蒂扭转可见于任何年龄段女性人群中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可引起患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者恶心呕吐症状 , 严重会引起休克。急性盆腔炎是女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性上生殖道中的一种急性细菌性炎症疾病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一般有子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宫内膜炎、盆腔腹膜炎症状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常见的急性盆腔炎是输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卵管 - 卵巢炎 , 很容易发生在性活跃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期女性与月经期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女性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9"/>
        </w:rPr>
        <w:t>［5］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。子宫内膜异位囊肿破裂亦可引起患者腹部剧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烈疼痛 , 且引起患者呕吐、恶心和肛门坠胀感症状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, 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易破裂发生在经期前后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排卵期亦可患病。子宫肌瘤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变性多发于 30~50 岁女性人群中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多呈现月经不规律、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月经量多、经期延长等临床症状 , 亦可伴有尿频、腰痛、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尿潴留、便秘症状 , 甚至可引起不孕症或者贫血症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, 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对妊娠女性 , 会引起子宫肌瘤变性。通常情况下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, 急腹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症非单一性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临床内科、外科、儿科都会引起急腹症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症状 , 妇产科急腹症也是其中一种。当人体偶见外伤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或者自体内部出现相关疾病 , 均会引起患者腹痛症状。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一般妇科急腹症患者病情发生原因主要体现在四个方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面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9"/>
        </w:rPr>
        <w:t>［6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"/>
          <w:position w:val="9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4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①患者体内出现肿块或者重要器官破裂 ；②患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2" w:right="81" w:hanging="19"/>
        <w:spacing w:before="54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者体内供血不足 ；③患者感染或炎症引起 ；④孕妇宫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内流产或者阴道形状发生变化。</w:t>
      </w:r>
    </w:p>
    <w:p>
      <w:pPr>
        <w:ind w:right="77" w:firstLine="420"/>
        <w:spacing w:before="26" w:line="20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妇科急腹症的病因一般较为复杂 , 病变部位有限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声像图像也有所不同。宫外孕患者不见明显诱因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腹部一侧呈现阵发性疼痛或者撕裂样疼痛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机体下腹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部表现出明显的坠胀感 , 引起昏厥现象 , 严重患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者会出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现不同程度的休克现象 , 腹部明显压痛或者反跳痛症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状 , 盆腔宫颈举痛 , 经人绒毛膜促性腺激素 (HCG) 检查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提示阳性 , 经超声诊断 , 可明显发现子宫正常或者体积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偏大 , 宫内膜线呈现较强回声区 , 宫内不见囊状回声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部分宫外孕患者亦可出现梭形图像 , 不见任何回声区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以假孕囊样为主要结构 , 处在宫腔中央 , 附件或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盆腔内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部呈现环状回声区 , 且伴有液性暗区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  <w:position w:val="8"/>
        </w:rPr>
        <w:t>［7-9］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。黄体破裂患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者的压痛与反跳痛症状明显 , 患侧疼痛感更甚 ,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一般不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见肌肉紧张现象 , 双合诊宫颈伴有举痛 , 子宫体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积正常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大小 , 有时可以触及增大卵巢 , 且呈现出明显压痛 , 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伴有包块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经 HCG 检查多为阴性 , 超声图像可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见子宫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体积大小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经前期宫内膜明显增厚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附件区域呈现混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合型包块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以不规则样为主 , 盆腔大 , 且液性暗区不规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律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  <w:position w:val="8"/>
        </w:rPr>
        <w:t>［10-12］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。卵巢囊肿蒂扭转患者常常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会呈现出明显的下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腹部绞痛症状 , 下腹部明显压痛 ,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可以触及到包块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HCG 检查 , 表现出阴性 , 这一疾病的超声图像中 , 一侧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附件区域包块异常 , 壁厚 , 形态相对不规则 , 轮廓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清楚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多见囊性与混合型包块 , 呈现低回声区 , 探头触痛 , 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腔中出现暗液区。急性盆腔炎多发生在月经后、妇科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手术后、性生活后阶段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, 常见症状是下腹部持续性疼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,</w:t>
      </w:r>
    </w:p>
    <w:p>
      <w:pPr>
        <w:spacing w:line="207" w:lineRule="auto"/>
        <w:sectPr>
          <w:type w:val="continuous"/>
          <w:pgSz w:w="11906" w:h="16838"/>
          <w:pgMar w:top="1372" w:right="940" w:bottom="0" w:left="407" w:header="1049" w:footer="0" w:gutter="0"/>
          <w:cols w:equalWidth="0" w:num="2">
            <w:col w:w="5674" w:space="100"/>
            <w:col w:w="478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3"/>
          <w:pgSz w:w="11906" w:h="16838"/>
          <w:pgMar w:top="1372" w:right="1051" w:bottom="0" w:left="407" w:header="1049" w:footer="0" w:gutter="0"/>
          <w:cols w:equalWidth="0" w:num="1">
            <w:col w:w="10446" w:space="0"/>
          </w:cols>
        </w:sectPr>
        <w:rPr/>
      </w:pPr>
    </w:p>
    <w:p>
      <w:pPr>
        <w:ind w:left="613" w:right="157" w:firstLine="7"/>
        <w:spacing w:before="51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患者不仅畏寒、发热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还会增加白带量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经后穹窿部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位可以穿刺抽搐脓液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白细胞 (WBC) 水平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&gt;10×10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5"/>
          <w:position w:val="9"/>
        </w:rPr>
        <w:t>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/L,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此时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这类疾病患者的超声图像表现为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：附件区呈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现增厚状的液性暗区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呈弥漫性密集低回声区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包块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不规则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以球形、腊肠形或者纺锤形为主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包块壁较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厚 , 且相对毛糙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明显粘连周围组织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盆腔积液包裹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但仅存在于子宫直肠凹部位。在本次研究中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本组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患者诊断准确率高达 92.54%(62/67),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诊与误诊率为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7.46%(5/67),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足以说明针对妇科急腹症患者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临床选择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超声诊断的准确率较高 , 临床误诊与漏诊几率较低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有较高的临床应用价值。</w:t>
      </w:r>
    </w:p>
    <w:p>
      <w:pPr>
        <w:ind w:left="614" w:right="157" w:firstLine="419"/>
        <w:spacing w:before="6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综上所述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妇科急腹症超声诊断的临床应用价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值颇高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可作为临床理想的诊断方式进行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大力推广和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应用。</w:t>
      </w:r>
    </w:p>
    <w:p>
      <w:pPr>
        <w:ind w:left="2376"/>
        <w:spacing w:before="168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献</w:t>
      </w:r>
    </w:p>
    <w:p>
      <w:pPr>
        <w:ind w:left="1041" w:right="158" w:hanging="512"/>
        <w:spacing w:before="201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［1］  窦丹燕 . 经阴道与经腹部超声在妇科急腹症中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的临床价值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医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学美学美容 , 2021, 30(1):140-141.</w:t>
      </w:r>
    </w:p>
    <w:p>
      <w:pPr>
        <w:ind w:left="1041" w:right="158" w:hanging="512"/>
        <w:spacing w:before="30" w:line="21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［2］  贾小超 , 付毓 . 经阴道联合腹部超声检查在妇科急腹症诊断的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价值分析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中国医疗器械信息 , 2021,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27(2):8-9,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173.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10" w:right="82" w:hanging="511"/>
        <w:spacing w:before="44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［3］  马晓玲 . 经腹部超声联合经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阴道超声检查对妇科急腹症的诊断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价值分析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中国实用医药 , 2021,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16(1):39-41.</w:t>
      </w:r>
    </w:p>
    <w:p>
      <w:pPr>
        <w:ind w:left="509" w:right="83" w:hanging="509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［4］  蔡正影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彩色多普勒超声检查在诊断妇科急腹症中的应用价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值 . 当代医药论丛 , 2021,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19(1):121-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122.</w:t>
      </w:r>
    </w:p>
    <w:p>
      <w:pPr>
        <w:ind w:left="522" w:right="82" w:hanging="523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［5］  王静 . 经阴道彩色多普勒超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声在妇科急腹症诊断与鉴别诊断中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的作用研究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中国医疗器械信息 , 2021, 27(5):82-83.</w:t>
      </w:r>
    </w:p>
    <w:p>
      <w:pPr>
        <w:ind w:left="510" w:right="82" w:hanging="511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［6］  刘晓华 . 腹部超声联合阴道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超声在诊断妇科急腹症中的临床应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用价值及检出率分析 . 影像研究与医学应用 , 2021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, 5(3):24-25.</w:t>
      </w:r>
    </w:p>
    <w:p>
      <w:pPr>
        <w:ind w:left="510" w:right="83" w:hanging="510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［7］  李楠 , 李一冰 . 腹部超声与经阴道超声在妇科急腹症诊断中的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应用效果 . 黑龙江医药科学 , 202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1, 44(1):87-88.</w:t>
      </w:r>
    </w:p>
    <w:p>
      <w:pPr>
        <w:ind w:left="510" w:right="81" w:hanging="510"/>
        <w:spacing w:before="30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［8］  卢单君 , 林芙蓉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张艳婷 . 经腹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部超声与经阴道超声联合检查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在妇科急腹症诊断中的应用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中国妇幼保健 , 2020,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35(4):764-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1"/>
        </w:rPr>
        <w:t>766.</w:t>
      </w:r>
    </w:p>
    <w:p>
      <w:pPr>
        <w:ind w:left="510" w:right="82" w:hanging="511"/>
        <w:spacing w:before="5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</w:rPr>
        <w:t>［9］  王建国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</w:rPr>
        <w:t>妇科急腹症的超声诊断价值研究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</w:rPr>
        <w:t>健康之友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2020(4):66-67.</w:t>
      </w:r>
    </w:p>
    <w:p>
      <w:pPr>
        <w:ind w:left="510" w:right="82" w:hanging="511"/>
        <w:spacing w:before="31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</w:rPr>
        <w:t>［10］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</w:rPr>
        <w:t>刘志杰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</w:rPr>
        <w:t>妇科急腹症的超声诊断价值探讨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</w:rPr>
        <w:t>母婴世界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1"/>
        </w:rPr>
        <w:t>2020(25):42.</w:t>
      </w:r>
    </w:p>
    <w:p>
      <w:pPr>
        <w:ind w:left="507" w:right="81" w:hanging="508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［11］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郭志伟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肖贤 . 妇科急腹症的超声诊断价值探讨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现代医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用影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像学 , 2018, 27(1):37-39.</w:t>
      </w:r>
    </w:p>
    <w:p>
      <w:pPr>
        <w:ind w:left="510" w:right="83" w:hanging="511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［12］ 陶莹莹 . 妇科急腹症超声诊断的价值分析 . 实用妇科内分泌电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子杂志 , 2018, 5(27):68-69.</w:t>
      </w:r>
    </w:p>
    <w:p>
      <w:pPr>
        <w:spacing w:before="31" w:line="201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［收稿日期 ：2021-05-31］</w:t>
      </w:r>
    </w:p>
    <w:p>
      <w:pPr>
        <w:spacing w:line="201" w:lineRule="auto"/>
        <w:sectPr>
          <w:type w:val="continuous"/>
          <w:pgSz w:w="11906" w:h="16838"/>
          <w:pgMar w:top="1372" w:right="1051" w:bottom="0" w:left="407" w:header="1049" w:footer="0" w:gutter="0"/>
          <w:cols w:equalWidth="0" w:num="2">
            <w:col w:w="5476" w:space="100"/>
            <w:col w:w="4871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ind w:left="626" w:right="3016" w:hanging="1"/>
        <w:spacing w:before="296" w:line="229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color w:val="231F20"/>
          <w:spacing w:val="19"/>
        </w:rPr>
        <w:t>股骨疲劳性骨折采用</w:t>
      </w:r>
      <w:r>
        <w:rPr>
          <w:rFonts w:ascii="SimHei" w:hAnsi="SimHei" w:eastAsia="SimHei" w:cs="SimHei"/>
          <w:sz w:val="34"/>
          <w:szCs w:val="34"/>
          <w:color w:val="231F20"/>
          <w:spacing w:val="-64"/>
        </w:rPr>
        <w:t xml:space="preserve"> </w:t>
      </w:r>
      <w:r>
        <w:rPr>
          <w:rFonts w:ascii="SimHei" w:hAnsi="SimHei" w:eastAsia="SimHei" w:cs="SimHei"/>
          <w:sz w:val="34"/>
          <w:szCs w:val="34"/>
          <w:color w:val="231F20"/>
        </w:rPr>
        <w:t>CT</w:t>
      </w:r>
      <w:r>
        <w:rPr>
          <w:rFonts w:ascii="SimHei" w:hAnsi="SimHei" w:eastAsia="SimHei" w:cs="SimHei"/>
          <w:sz w:val="34"/>
          <w:szCs w:val="34"/>
          <w:color w:val="231F20"/>
          <w:spacing w:val="19"/>
        </w:rPr>
        <w:t>、</w:t>
      </w:r>
      <w:r>
        <w:rPr>
          <w:rFonts w:ascii="SimHei" w:hAnsi="SimHei" w:eastAsia="SimHei" w:cs="SimHei"/>
          <w:sz w:val="34"/>
          <w:szCs w:val="34"/>
          <w:color w:val="231F20"/>
        </w:rPr>
        <w:t>MRI</w:t>
      </w:r>
      <w:r>
        <w:rPr>
          <w:rFonts w:ascii="SimHei" w:hAnsi="SimHei" w:eastAsia="SimHei" w:cs="SimHei"/>
          <w:sz w:val="34"/>
          <w:szCs w:val="34"/>
          <w:color w:val="231F20"/>
          <w:spacing w:val="-68"/>
        </w:rPr>
        <w:t xml:space="preserve"> </w:t>
      </w:r>
      <w:r>
        <w:rPr>
          <w:rFonts w:ascii="SimHei" w:hAnsi="SimHei" w:eastAsia="SimHei" w:cs="SimHei"/>
          <w:sz w:val="34"/>
          <w:szCs w:val="34"/>
          <w:color w:val="231F20"/>
          <w:spacing w:val="19"/>
        </w:rPr>
        <w:t>诊断的价值及</w:t>
      </w:r>
      <w:r>
        <w:rPr>
          <w:rFonts w:ascii="SimHei" w:hAnsi="SimHei" w:eastAsia="SimHei" w:cs="SimHei"/>
          <w:sz w:val="34"/>
          <w:szCs w:val="34"/>
          <w:color w:val="231F20"/>
        </w:rPr>
        <w:t xml:space="preserve"> </w:t>
      </w:r>
      <w:r>
        <w:rPr>
          <w:rFonts w:ascii="SimHei" w:hAnsi="SimHei" w:eastAsia="SimHei" w:cs="SimHei"/>
          <w:sz w:val="34"/>
          <w:szCs w:val="34"/>
          <w:color w:val="231F20"/>
          <w:spacing w:val="3"/>
        </w:rPr>
        <w:t>影像学特点分析</w:t>
      </w:r>
    </w:p>
    <w:p>
      <w:pPr>
        <w:pStyle w:val="BodyText"/>
        <w:ind w:left="633"/>
        <w:spacing w:before="251" w:line="238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张展</w:t>
      </w:r>
    </w:p>
    <w:p>
      <w:pPr>
        <w:pStyle w:val="BodyText"/>
        <w:ind w:left="613" w:right="1712" w:firstLine="268"/>
        <w:spacing w:before="311" w:line="258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</w:rPr>
        <w:t>【摘要】</w:t>
      </w:r>
      <w:r>
        <w:rPr>
          <w:rFonts w:ascii="Microsoft YaHei" w:hAnsi="Microsoft YaHei" w:eastAsia="Microsoft YaHei" w:cs="Microsoft YaHei"/>
          <w:color w:val="231F20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目的   </w:t>
      </w:r>
      <w:r>
        <w:rPr>
          <w:color w:val="231F20"/>
        </w:rPr>
        <w:t>分析股骨疲劳性骨折的特点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,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对比采用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CT、磁共振成像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(MRI)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诊</w:t>
      </w:r>
      <w:r>
        <w:rPr>
          <w:color w:val="231F20"/>
          <w:spacing w:val="-1"/>
        </w:rPr>
        <w:t>断的价值以及影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像学特点。</w:t>
      </w:r>
      <w:r>
        <w:rPr>
          <w:rFonts w:ascii="Microsoft YaHei" w:hAnsi="Microsoft YaHei" w:eastAsia="Microsoft YaHei" w:cs="Microsoft YaHei"/>
          <w:color w:val="231F20"/>
          <w:spacing w:val="1"/>
        </w:rPr>
        <w:t>方法   </w:t>
      </w:r>
      <w:r>
        <w:rPr>
          <w:color w:val="231F20"/>
          <w:spacing w:val="1"/>
        </w:rPr>
        <w:t>80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例疑似股骨疲劳性骨折患者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均进行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1"/>
        </w:rPr>
        <w:t>、</w:t>
      </w:r>
      <w:r>
        <w:rPr>
          <w:color w:val="231F20"/>
        </w:rPr>
        <w:t>CT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"/>
        </w:rPr>
        <w:t>检查。以关节镜检查结果作为诊断</w:t>
      </w:r>
      <w:r>
        <w:rPr>
          <w:color w:val="231F20"/>
        </w:rPr>
        <w:t xml:space="preserve">  </w:t>
      </w:r>
      <w:r>
        <w:rPr>
          <w:color w:val="231F20"/>
        </w:rPr>
        <w:t>金标准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,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对比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MRI、CT</w:t>
      </w:r>
      <w:r>
        <w:rPr>
          <w:color w:val="231F20"/>
          <w:spacing w:val="-43"/>
        </w:rPr>
        <w:t xml:space="preserve"> </w:t>
      </w:r>
      <w:r>
        <w:rPr>
          <w:color w:val="231F20"/>
        </w:rPr>
        <w:t>诊断的准确率、灵敏度、特异度、阳性预测值、阴性预测值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；分析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MRI、CT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的  </w:t>
      </w:r>
      <w:r>
        <w:rPr>
          <w:color w:val="231F20"/>
          <w:spacing w:val="-5"/>
        </w:rPr>
        <w:t>影像学特点。</w:t>
      </w:r>
      <w:r>
        <w:rPr>
          <w:rFonts w:ascii="Microsoft YaHei" w:hAnsi="Microsoft YaHei" w:eastAsia="Microsoft YaHei" w:cs="Microsoft YaHei"/>
          <w:color w:val="231F20"/>
          <w:spacing w:val="-5"/>
        </w:rPr>
        <w:t>结果</w:t>
      </w:r>
      <w:r>
        <w:rPr>
          <w:rFonts w:ascii="Microsoft YaHei" w:hAnsi="Microsoft YaHei" w:eastAsia="Microsoft YaHei" w:cs="Microsoft YaHei"/>
          <w:color w:val="231F20"/>
          <w:spacing w:val="13"/>
        </w:rPr>
        <w:t xml:space="preserve">   </w:t>
      </w:r>
      <w:r>
        <w:rPr>
          <w:color w:val="231F20"/>
          <w:spacing w:val="-5"/>
        </w:rPr>
        <w:t>以关节镜检查结果作为诊断金标准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5"/>
        </w:rPr>
        <w:t>,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5"/>
        </w:rPr>
        <w:t>80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例疑似股骨疲劳性骨折患者中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5"/>
        </w:rPr>
        <w:t>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阳性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5"/>
        </w:rPr>
        <w:t>40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5"/>
        </w:rPr>
        <w:t>例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5"/>
        </w:rPr>
        <w:t>,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阴性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40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例。MRI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检查诊断阳性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41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例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, 阴性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39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例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；CT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检查诊断阳性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42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例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, 阴性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38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例。MRI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诊断的准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确率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91.25%、灵敏度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92.50%、特异度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90.00</w:t>
      </w:r>
      <w:r>
        <w:rPr>
          <w:color w:val="231F20"/>
          <w:spacing w:val="1"/>
        </w:rPr>
        <w:t>%、阳性预测值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90.24%、阴性预测值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"/>
        </w:rPr>
        <w:t>92.31%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均高于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"/>
        </w:rPr>
        <w:t>诊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断的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2"/>
        </w:rPr>
        <w:t>47.50%、50.00%、45.00%、47.62%、47.37%,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差异具有统计学意义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(</w:t>
      </w:r>
      <w:r>
        <w:rPr>
          <w:rFonts w:ascii="Times New Roman" w:hAnsi="Times New Roman" w:eastAsia="Times New Roman" w:cs="Times New Roman"/>
          <w:color w:val="231F20"/>
          <w:spacing w:val="-2"/>
        </w:rPr>
        <w:t>P&lt;</w:t>
      </w:r>
      <w:r>
        <w:rPr>
          <w:color w:val="231F20"/>
          <w:spacing w:val="-2"/>
        </w:rPr>
        <w:t>0</w:t>
      </w:r>
      <w:r>
        <w:rPr>
          <w:color w:val="231F20"/>
          <w:spacing w:val="-3"/>
        </w:rPr>
        <w:t>.05)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。影像学特点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：CT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检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查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：有明显的层状骨膜增生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3"/>
        </w:rPr>
        <w:t>/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花边样骨膜增生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部分患者可</w:t>
      </w:r>
      <w:r>
        <w:rPr>
          <w:color w:val="231F20"/>
          <w:spacing w:val="-4"/>
        </w:rPr>
        <w:t>见骨折线、骨痂形成、不同程度髓腔密度增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高。MRI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检查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：有低信号骨折线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,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呈现出不等线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4"/>
        </w:rPr>
        <w:t>/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片状特征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,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部分患者有节腔内积液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,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部分患者呈现出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清晰骨折线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低信号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T2WI,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部分患者呈软组织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3"/>
        </w:rPr>
        <w:t>/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骨挫伤水肿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软组织高信号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3"/>
        </w:rPr>
        <w:t>T2WI,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骨挫伤低信号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T1WI。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结论   </w:t>
      </w:r>
      <w:r>
        <w:rPr>
          <w:color w:val="231F20"/>
          <w:spacing w:val="3"/>
        </w:rPr>
        <w:t>股骨疲劳性骨折采取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3"/>
        </w:rPr>
        <w:t>、</w:t>
      </w:r>
      <w:r>
        <w:rPr>
          <w:color w:val="231F20"/>
        </w:rPr>
        <w:t>MRI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3"/>
        </w:rPr>
        <w:t>诊断均具有价值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,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对比整体诊断价值以及</w:t>
      </w:r>
      <w:r>
        <w:rPr>
          <w:color w:val="231F20"/>
          <w:spacing w:val="2"/>
        </w:rPr>
        <w:t>影像学特点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,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检查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具有更高的诊断效能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,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4"/>
        </w:rPr>
        <w:t>是此类骨折检查的优选方式。</w:t>
      </w:r>
    </w:p>
    <w:p>
      <w:pPr>
        <w:pStyle w:val="BodyText"/>
        <w:ind w:left="882"/>
        <w:spacing w:before="19" w:line="211" w:lineRule="auto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【关键词】</w:t>
      </w:r>
      <w:r>
        <w:rPr>
          <w:rFonts w:ascii="Microsoft YaHei" w:hAnsi="Microsoft YaHei" w:eastAsia="Microsoft YaHei" w:cs="Microsoft YaHei"/>
          <w:color w:val="231F20"/>
          <w:spacing w:val="50"/>
        </w:rPr>
        <w:t xml:space="preserve"> </w:t>
      </w:r>
      <w:r>
        <w:rPr>
          <w:color w:val="231F20"/>
          <w:spacing w:val="-5"/>
        </w:rPr>
        <w:t>股骨疲劳性骨折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5"/>
        </w:rPr>
        <w:t>；CT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5"/>
        </w:rPr>
        <w:t>诊断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5"/>
        </w:rPr>
        <w:t>；磁共振成像诊断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5"/>
        </w:rPr>
        <w:t>；影</w:t>
      </w:r>
      <w:r>
        <w:rPr>
          <w:color w:val="231F20"/>
          <w:spacing w:val="-6"/>
        </w:rPr>
        <w:t>像学特点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6"/>
        </w:rPr>
        <w:t>；诊断效能</w:t>
      </w:r>
    </w:p>
    <w:p>
      <w:pPr>
        <w:pStyle w:val="BodyText"/>
        <w:ind w:left="987"/>
        <w:spacing w:before="14" w:line="242" w:lineRule="auto"/>
        <w:rPr/>
      </w:pPr>
      <w:r>
        <w:rPr>
          <w:color w:val="231F20"/>
          <w:spacing w:val="-12"/>
        </w:rPr>
        <w:t>DOI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2"/>
        </w:rPr>
        <w:t>：10.14164/j.cnki.cn11-5</w:t>
      </w:r>
      <w:r>
        <w:rPr>
          <w:color w:val="231F20"/>
          <w:spacing w:val="-13"/>
        </w:rPr>
        <w:t>581/r.2023.04.029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613" w:right="1781" w:firstLine="1"/>
        <w:spacing w:before="52" w:line="28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4"/>
        </w:rPr>
        <w:t>Diagnostic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value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imaging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characteristics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of CT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MRI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fatigue</w:t>
      </w:r>
      <w:r>
        <w:rPr>
          <w:rFonts w:ascii="Times New Roman" w:hAnsi="Times New Roman" w:eastAsia="Times New Roman" w:cs="Times New Roman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fracture</w:t>
      </w:r>
      <w:r>
        <w:rPr>
          <w:rFonts w:ascii="Times New Roman" w:hAnsi="Times New Roman" w:eastAsia="Times New Roman" w:cs="Times New Roman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of the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femur    ZHANG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Zhan. Department of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Radiology, Dalian Fifth People</w:t>
      </w:r>
      <w:r>
        <w:rPr>
          <w:color w:val="231F20"/>
          <w:spacing w:val="-2"/>
        </w:rPr>
        <w:t>'</w:t>
      </w:r>
      <w:r>
        <w:rPr>
          <w:rFonts w:ascii="Times New Roman" w:hAnsi="Times New Roman" w:eastAsia="Times New Roman" w:cs="Times New Roman"/>
          <w:color w:val="231F20"/>
          <w:spacing w:val="-2"/>
        </w:rPr>
        <w:t>s Hospital, Dalian 116021,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China</w:t>
      </w:r>
    </w:p>
    <w:p>
      <w:pPr>
        <w:pStyle w:val="BodyText"/>
        <w:ind w:left="618" w:right="1779" w:firstLine="264"/>
        <w:spacing w:before="3" w:line="259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-11"/>
        </w:rPr>
        <w:t>【</w:t>
      </w:r>
      <w:r>
        <w:rPr>
          <w:rFonts w:ascii="Times New Roman" w:hAnsi="Times New Roman" w:eastAsia="Times New Roman" w:cs="Times New Roman"/>
          <w:color w:val="231F20"/>
          <w:spacing w:val="-11"/>
        </w:rPr>
        <w:t>Abstract</w:t>
      </w:r>
      <w:r>
        <w:rPr>
          <w:rFonts w:ascii="Microsoft YaHei" w:hAnsi="Microsoft YaHei" w:eastAsia="Microsoft YaHei" w:cs="Microsoft YaHei"/>
          <w:color w:val="231F20"/>
          <w:spacing w:val="-11"/>
        </w:rPr>
        <w:t>】  </w:t>
      </w:r>
      <w:r>
        <w:rPr>
          <w:rFonts w:ascii="Times New Roman" w:hAnsi="Times New Roman" w:eastAsia="Times New Roman" w:cs="Times New Roman"/>
          <w:color w:val="231F20"/>
          <w:spacing w:val="-11"/>
        </w:rPr>
        <w:t>Objective    </w:t>
      </w:r>
      <w:r>
        <w:rPr>
          <w:color w:val="231F20"/>
          <w:spacing w:val="-11"/>
        </w:rPr>
        <w:t>To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analyze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characteristics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1"/>
        </w:rPr>
        <w:t>fatigue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fractures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femur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an</w:t>
      </w:r>
      <w:r>
        <w:rPr>
          <w:color w:val="231F20"/>
          <w:spacing w:val="-12"/>
        </w:rPr>
        <w:t>d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compare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diagnostic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1"/>
        </w:rPr>
        <w:t>value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imaging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characteristics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1"/>
        </w:rPr>
        <w:t>CT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magnetic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resonance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imaging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(MRI).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1"/>
        </w:rPr>
        <w:t>Metho</w:t>
      </w:r>
      <w:r>
        <w:rPr>
          <w:rFonts w:ascii="Times New Roman" w:hAnsi="Times New Roman" w:eastAsia="Times New Roman" w:cs="Times New Roman"/>
          <w:color w:val="231F20"/>
          <w:spacing w:val="-12"/>
        </w:rPr>
        <w:t>ds    </w:t>
      </w:r>
      <w:r>
        <w:rPr>
          <w:color w:val="231F20"/>
          <w:spacing w:val="-12"/>
        </w:rPr>
        <w:t>MRI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CT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5"/>
        </w:rPr>
        <w:t>examinations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5"/>
        </w:rPr>
        <w:t>were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5"/>
        </w:rPr>
        <w:t>p</w:t>
      </w:r>
      <w:r>
        <w:rPr>
          <w:color w:val="231F20"/>
          <w:spacing w:val="-16"/>
        </w:rPr>
        <w:t>erformed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80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6"/>
        </w:rPr>
        <w:t>patients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6"/>
        </w:rPr>
        <w:t>with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suspected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6"/>
        </w:rPr>
        <w:t>fatigue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6"/>
        </w:rPr>
        <w:t>fractures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6"/>
        </w:rPr>
        <w:t>femur.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6"/>
        </w:rPr>
        <w:t>Arthroscopic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6"/>
        </w:rPr>
        <w:t>findings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>
        <w:pict>
          <v:shape id="_x0000_s10" style="position:absolute;margin-left:30.8361pt;margin-top:7.82379pt;mso-position-vertical-relative:text;mso-position-horizontal-relative:text;width:70.9pt;height:0.45pt;z-index:251660288;" filled="false" strokecolor="#231F20" strokeweight="0.43pt" coordsize="1418,8" coordorigin="0,0" path="m0,4l1417,4e">
            <v:stroke joinstyle="miter" miterlimit="10"/>
          </v:shape>
        </w:pict>
      </w:r>
      <w:r/>
    </w:p>
    <w:p>
      <w:pPr>
        <w:pStyle w:val="BodyText"/>
        <w:ind w:left="898"/>
        <w:spacing w:before="53" w:line="17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作者单位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2"/>
        </w:rPr>
        <w:t>：116021  大连市第五人</w:t>
      </w:r>
      <w:r>
        <w:rPr>
          <w:sz w:val="16"/>
          <w:szCs w:val="16"/>
          <w:color w:val="231F20"/>
          <w:spacing w:val="-3"/>
        </w:rPr>
        <w:t>民医院放射科</w:t>
      </w:r>
    </w:p>
    <w:sectPr>
      <w:type w:val="continuous"/>
      <w:pgSz w:w="11906" w:h="16838"/>
      <w:pgMar w:top="1372" w:right="1051" w:bottom="0" w:left="407" w:header="1049" w:footer="0" w:gutter="0"/>
      <w:cols w:equalWidth="0" w:num="1">
        <w:col w:w="1044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7"/>
      <w:spacing w:before="41" w:line="181" w:lineRule="auto"/>
      <w:jc w:val="right"/>
      <w:rPr>
        <w:rFonts w:ascii="Microsoft YaHei" w:hAnsi="Microsoft YaHei" w:eastAsia="Microsoft YaHei" w:cs="Microsoft YaHei"/>
        <w:sz w:val="21"/>
        <w:szCs w:val="21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3"/>
      </w:rPr>
      <w:t>中国现代药物应用2023年2月第17卷第4期  Chin</w:t>
    </w:r>
    <w:r>
      <w:rPr>
        <w:sz w:val="16"/>
        <w:szCs w:val="16"/>
        <w:u w:val="single" w:color="auto"/>
        <w:color w:val="231F20"/>
        <w:spacing w:val="-28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J</w:t>
    </w:r>
    <w:r>
      <w:rPr>
        <w:sz w:val="16"/>
        <w:szCs w:val="16"/>
        <w:u w:val="single" w:color="auto"/>
        <w:color w:val="231F20"/>
        <w:spacing w:val="-3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Mod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Drug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Appl,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Feb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2023,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Vol.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17,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No.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4</w:t>
    </w:r>
    <w:r>
      <w:rPr>
        <w:sz w:val="16"/>
        <w:szCs w:val="16"/>
        <w:color w:val="231F20"/>
        <w:spacing w:val="-3"/>
      </w:rPr>
      <w:t xml:space="preserve">                                      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3"/>
        <w:position w:val="-1"/>
      </w:rPr>
      <w:t>·97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25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3"/>
        <w:position w:val="-1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41" w:line="181" w:lineRule="auto"/>
      <w:rPr>
        <w:sz w:val="16"/>
        <w:szCs w:val="16"/>
      </w:rPr>
    </w:pPr>
    <w:r>
      <w:pict>
        <v:shape id="WordPictureWatermark8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  <w:position w:val="-1"/>
      </w:rPr>
      <w:t>·98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26"/>
        <w:position w:val="-1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  <w:position w:val="-1"/>
      </w:rPr>
      <w:t>·                    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3"/>
        <w:position w:val="-1"/>
      </w:rPr>
      <w:t xml:space="preserve">                           </w:t>
    </w:r>
    <w:r>
      <w:rPr>
        <w:sz w:val="16"/>
        <w:szCs w:val="16"/>
        <w:u w:val="single" w:color="auto"/>
        <w:color w:val="231F20"/>
        <w:spacing w:val="-61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中国现代药物应用2023年2月第17卷第4期  Chin</w:t>
    </w:r>
    <w:r>
      <w:rPr>
        <w:sz w:val="16"/>
        <w:szCs w:val="16"/>
        <w:u w:val="single" w:color="auto"/>
        <w:color w:val="231F20"/>
        <w:spacing w:val="-40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J</w:t>
    </w:r>
    <w:r>
      <w:rPr>
        <w:sz w:val="16"/>
        <w:szCs w:val="16"/>
        <w:u w:val="single" w:color="auto"/>
        <w:color w:val="231F20"/>
        <w:spacing w:val="-3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Mod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Drug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Appl,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Feb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2023,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Vol.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17,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No.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2023-05-23T17:07:29Z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2025-10-28T21:33:18</vt:filetime>
  </property>
</Properties>
</file>