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32"/>
        <w:spacing w:before="243" w:line="221" w:lineRule="auto"/>
        <w:outlineLvl w:val="0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color w:val="231F20"/>
          <w:spacing w:val="-2"/>
        </w:rPr>
        <w:t>子宫附件囊性占位应用超声诊断的价值及检出率</w:t>
      </w:r>
    </w:p>
    <w:p>
      <w:pPr>
        <w:ind w:left="4227"/>
        <w:spacing w:before="14" w:line="222" w:lineRule="auto"/>
        <w:outlineLvl w:val="0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color w:val="231F20"/>
          <w:spacing w:val="-3"/>
        </w:rPr>
        <w:t>和安全性分析</w:t>
      </w:r>
    </w:p>
    <w:p>
      <w:pPr>
        <w:pStyle w:val="BodyText"/>
        <w:ind w:left="5238"/>
        <w:spacing w:before="107" w:line="220" w:lineRule="auto"/>
        <w:rPr/>
      </w:pPr>
      <w:r>
        <w:rPr>
          <w:color w:val="231F20"/>
          <w:spacing w:val="-3"/>
        </w:rPr>
        <w:t>王莉萍</w:t>
      </w:r>
    </w:p>
    <w:p>
      <w:pPr>
        <w:pStyle w:val="BodyText"/>
        <w:ind w:left="3141"/>
        <w:spacing w:before="41" w:line="220" w:lineRule="auto"/>
        <w:rPr/>
      </w:pPr>
      <w:r>
        <w:rPr>
          <w:color w:val="231F20"/>
          <w:spacing w:val="-2"/>
        </w:rPr>
        <w:t>（宜兴市万石镇卫生院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B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2"/>
        </w:rPr>
        <w:t>超室  江苏  宜兴  214212）</w:t>
      </w:r>
    </w:p>
    <w:p>
      <w:pPr>
        <w:pStyle w:val="BodyText"/>
        <w:ind w:left="431" w:right="70" w:hanging="7"/>
        <w:spacing w:before="202" w:line="299" w:lineRule="auto"/>
        <w:jc w:val="both"/>
        <w:rPr>
          <w:sz w:val="16"/>
          <w:szCs w:val="16"/>
        </w:rPr>
      </w:pPr>
      <w:r>
        <w:rPr>
          <w:rFonts w:ascii="SimHei" w:hAnsi="SimHei" w:eastAsia="SimHei" w:cs="SimHei"/>
          <w:color w:val="231F20"/>
          <w:spacing w:val="1"/>
          <w:position w:val="-1"/>
        </w:rPr>
        <w:t>【摘要】</w:t>
      </w:r>
      <w:r>
        <w:rPr>
          <w:rFonts w:ascii="SimHei" w:hAnsi="SimHei" w:eastAsia="SimHei" w:cs="SimHei"/>
          <w:color w:val="231F20"/>
          <w:spacing w:val="60"/>
          <w:position w:val="-1"/>
        </w:rPr>
        <w:t xml:space="preserve"> </w:t>
      </w:r>
      <w:r>
        <w:rPr>
          <w:sz w:val="16"/>
          <w:szCs w:val="16"/>
          <w:color w:val="231F20"/>
          <w:spacing w:val="1"/>
        </w:rPr>
        <w:t>目的：研究分析超声诊断在子宫附件囊性占位中的诊断价值和安全性。方法：选取于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1"/>
        </w:rPr>
        <w:t>201</w:t>
      </w:r>
      <w:r>
        <w:rPr>
          <w:sz w:val="16"/>
          <w:szCs w:val="16"/>
          <w:color w:val="231F20"/>
        </w:rPr>
        <w:t>9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</w:rPr>
        <w:t>年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</w:rPr>
        <w:t>1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</w:rPr>
        <w:t>月—2020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</w:rPr>
        <w:t>年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</w:rPr>
        <w:t>8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</w:rPr>
        <w:t>月我院收治的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</w:rPr>
        <w:t>115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</w:rPr>
        <w:t>例 </w:t>
      </w:r>
      <w:r>
        <w:rPr>
          <w:sz w:val="16"/>
          <w:szCs w:val="16"/>
          <w:color w:val="231F20"/>
          <w:spacing w:val="7"/>
        </w:rPr>
        <w:t>经阴道超声提示存在子宫附件囊性占位的患者，并经由临床综合诊断确诊，分析超声诊断的检出率。结果：对比超声检查与临床综合诊断结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2"/>
        </w:rPr>
        <w:t>果发现，超声检查对于子宫内膜异位囊肿、输卵管积液、囊腺癌、卵巢囊肿蒂扭转以及附件炎性包块的检出率与临床综合诊</w:t>
      </w:r>
      <w:r>
        <w:rPr>
          <w:sz w:val="16"/>
          <w:szCs w:val="16"/>
          <w:color w:val="231F20"/>
          <w:spacing w:val="1"/>
        </w:rPr>
        <w:t>断结果无明显差异，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且超声检查和穿刺检查对于包裹性积液的检出率也无明显差异（</w:t>
      </w:r>
      <w:r>
        <w:rPr>
          <w:sz w:val="16"/>
          <w:szCs w:val="16"/>
          <w:i/>
          <w:iCs/>
          <w:color w:val="231F20"/>
          <w:spacing w:val="4"/>
        </w:rPr>
        <w:t>P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4"/>
        </w:rPr>
        <w:t>＞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4"/>
        </w:rPr>
        <w:t>0.05）。结论：在对于子宫附件囊性占位的</w:t>
      </w:r>
      <w:r>
        <w:rPr>
          <w:sz w:val="16"/>
          <w:szCs w:val="16"/>
          <w:color w:val="231F20"/>
          <w:spacing w:val="3"/>
        </w:rPr>
        <w:t>诊断中，超声检查可有效地显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示相关病变，检出率较高，且超声诊断具有无创的特点，安全性较高，值得临床相关诊断借</w:t>
      </w:r>
      <w:r>
        <w:rPr>
          <w:sz w:val="16"/>
          <w:szCs w:val="16"/>
          <w:color w:val="231F20"/>
          <w:spacing w:val="2"/>
        </w:rPr>
        <w:t>鉴和参考。</w:t>
      </w:r>
    </w:p>
    <w:p>
      <w:pPr>
        <w:spacing w:line="299" w:lineRule="auto"/>
        <w:sectPr>
          <w:headerReference w:type="default" r:id="rId1"/>
          <w:pgSz w:w="11906" w:h="16158"/>
          <w:pgMar w:top="1003" w:right="779" w:bottom="0" w:left="424" w:header="642" w:footer="0" w:gutter="0"/>
          <w:cols w:equalWidth="0" w:num="1">
            <w:col w:w="10703" w:space="0"/>
          </w:cols>
        </w:sectPr>
        <w:rPr>
          <w:sz w:val="16"/>
          <w:szCs w:val="16"/>
        </w:rPr>
      </w:pPr>
    </w:p>
    <w:p>
      <w:pPr>
        <w:pStyle w:val="BodyText"/>
        <w:ind w:left="424"/>
        <w:spacing w:before="41" w:line="223" w:lineRule="auto"/>
        <w:rPr>
          <w:sz w:val="16"/>
          <w:szCs w:val="16"/>
        </w:rPr>
      </w:pPr>
      <w:r>
        <w:rPr>
          <w:rFonts w:ascii="SimHei" w:hAnsi="SimHei" w:eastAsia="SimHei" w:cs="SimHei"/>
          <w:color w:val="231F20"/>
          <w:spacing w:val="2"/>
        </w:rPr>
        <w:t>【关键词】</w:t>
      </w:r>
      <w:r>
        <w:rPr>
          <w:rFonts w:ascii="SimHei" w:hAnsi="SimHei" w:eastAsia="SimHei" w:cs="SimHei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2"/>
        </w:rPr>
        <w:t>子宫附件囊性占位；超声检查；影像学</w:t>
      </w:r>
    </w:p>
    <w:p>
      <w:pPr>
        <w:pStyle w:val="BodyText"/>
        <w:ind w:left="424"/>
        <w:spacing w:before="38" w:line="221" w:lineRule="auto"/>
        <w:rPr>
          <w:sz w:val="16"/>
          <w:szCs w:val="16"/>
        </w:rPr>
      </w:pPr>
      <w:r>
        <w:rPr>
          <w:rFonts w:ascii="SimHei" w:hAnsi="SimHei" w:eastAsia="SimHei" w:cs="SimHei"/>
          <w:color w:val="231F20"/>
          <w:spacing w:val="-2"/>
        </w:rPr>
        <w:t>【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rFonts w:ascii="SimHei" w:hAnsi="SimHei" w:eastAsia="SimHei" w:cs="SimHei"/>
          <w:color w:val="231F20"/>
          <w:spacing w:val="-2"/>
        </w:rPr>
        <w:t>中图分类号】</w:t>
      </w:r>
      <w:r>
        <w:rPr>
          <w:sz w:val="16"/>
          <w:szCs w:val="16"/>
          <w:color w:val="231F20"/>
          <w:spacing w:val="-2"/>
          <w:position w:val="1"/>
        </w:rPr>
        <w:t>R711.3                    </w:t>
      </w:r>
      <w:r>
        <w:rPr>
          <w:rFonts w:ascii="SimHei" w:hAnsi="SimHei" w:eastAsia="SimHei" w:cs="SimHei"/>
          <w:color w:val="231F20"/>
          <w:spacing w:val="-2"/>
        </w:rPr>
        <w:t>【文献标识码】</w:t>
      </w:r>
      <w:r>
        <w:rPr>
          <w:sz w:val="16"/>
          <w:szCs w:val="16"/>
          <w:color w:val="231F20"/>
          <w:spacing w:val="-2"/>
          <w:position w:val="1"/>
        </w:rPr>
        <w:t>A</w:t>
      </w:r>
    </w:p>
    <w:p>
      <w:pPr>
        <w:pStyle w:val="BodyText"/>
        <w:ind w:left="433" w:right="237" w:firstLine="398"/>
        <w:spacing w:before="232" w:line="277" w:lineRule="auto"/>
        <w:rPr/>
      </w:pPr>
      <w:r>
        <w:rPr>
          <w:color w:val="231F20"/>
          <w:spacing w:val="5"/>
        </w:rPr>
        <w:t>子宫附件囊性占位是由炎症或内分泌失调引起的常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见妇科病变类型</w:t>
      </w:r>
      <w:r>
        <w:rPr>
          <w:color w:val="231F20"/>
          <w:spacing w:val="-14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[1]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1"/>
        </w:rPr>
        <w:t>。子宫附件主要包括子宫两侧的输卵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管和卵巢</w:t>
      </w:r>
      <w:r>
        <w:rPr>
          <w:color w:val="231F20"/>
          <w:spacing w:val="-22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[2]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1"/>
        </w:rPr>
        <w:t>。当患者在炎症、产科手术感染、安置宫内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节育器时未严格进行无菌操作或安置后未注意个人卫生 </w:t>
      </w:r>
      <w:r>
        <w:rPr>
          <w:color w:val="231F20"/>
          <w:spacing w:val="5"/>
        </w:rPr>
        <w:t>时，易导致子宫附件囊性占位的发生，同时在日常生活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中久坐、常穿紧身裤等生活习惯也是子宫附件</w:t>
      </w:r>
      <w:r>
        <w:rPr>
          <w:color w:val="231F20"/>
          <w:spacing w:val="4"/>
        </w:rPr>
        <w:t>囊性占位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的发病因素。患者常见子宫内膜异位囊肿、输</w:t>
      </w:r>
      <w:r>
        <w:rPr>
          <w:color w:val="231F20"/>
          <w:spacing w:val="-5"/>
        </w:rPr>
        <w:t>卵管积液、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囊腺癌、卵巢囊肿蒂扭转等疾病。在临床上，相关疾病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的诊断金标准为病理检查，但其常因为诊断时间较长，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且检查有创，患者常对检查产生抗拒心理，因此检查相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关过程中依从性不高甚至拒绝检查，影响疾病的诊断，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耽误患者的疾病诊治，影响预后。而超声检查具有无创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安全的优点，且检查时间较短，通过影像学手段准确地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反映患者病变组织的位置、囊肿大小和性质，具有诊断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价值。本次研究着眼于此，研究分析超声诊断在子宫附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件囊性占位中的诊断价值和安全性。</w:t>
      </w:r>
    </w:p>
    <w:p>
      <w:pPr>
        <w:ind w:left="445"/>
        <w:spacing w:before="294" w:line="264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color w:val="231F20"/>
          <w:spacing w:val="-5"/>
          <w:position w:val="1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22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color w:val="231F20"/>
          <w:spacing w:val="-5"/>
          <w:position w:val="1"/>
        </w:rPr>
        <w:t>资料与方法</w:t>
      </w:r>
    </w:p>
    <w:p>
      <w:pPr>
        <w:pStyle w:val="BodyText"/>
        <w:ind w:left="845"/>
        <w:spacing w:before="44" w:line="220" w:lineRule="auto"/>
        <w:rPr/>
      </w:pPr>
      <w:r>
        <w:rPr>
          <w:color w:val="231F20"/>
          <w:spacing w:val="-5"/>
        </w:rPr>
        <w:t>1.1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一般资料</w:t>
      </w:r>
    </w:p>
    <w:p>
      <w:pPr>
        <w:pStyle w:val="BodyText"/>
        <w:ind w:left="434" w:right="239" w:firstLine="395"/>
        <w:spacing w:before="60" w:line="277" w:lineRule="auto"/>
        <w:rPr/>
      </w:pPr>
      <w:r>
        <w:rPr>
          <w:color w:val="231F20"/>
          <w:spacing w:val="-5"/>
        </w:rPr>
        <w:t>选取于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2019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5"/>
        </w:rPr>
        <w:t>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1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月—2020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5"/>
        </w:rPr>
        <w:t>年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5"/>
        </w:rPr>
        <w:t>8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月我院收治的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115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经阴道超声提示存在子宫附件囊性占位的患者，年龄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21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~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56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岁，平均年龄（42.12±3.56）岁，病程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3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8"/>
        </w:rPr>
        <w:t>个</w:t>
      </w:r>
      <w:r>
        <w:rPr>
          <w:color w:val="231F20"/>
          <w:spacing w:val="7"/>
        </w:rPr>
        <w:t>月~</w:t>
      </w:r>
      <w:r>
        <w:rPr>
          <w:color w:val="231F20"/>
        </w:rPr>
        <w:t xml:space="preserve"> </w:t>
      </w:r>
      <w:r>
        <w:rPr>
          <w:color w:val="231F20"/>
        </w:rPr>
        <w:t>12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年，其中下腹疼痛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43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例，阴道少量出血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37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"/>
        </w:rPr>
        <w:t>例，白带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异常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13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例，内诊检查可疑附件囊性包块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22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"/>
        </w:rPr>
        <w:t>例。主要病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因包括：产科手术感染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39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例，经期同房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26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例，炎症蔓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延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29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4"/>
        </w:rPr>
        <w:t>例，分娩或流产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4"/>
        </w:rPr>
        <w:t>21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4"/>
        </w:rPr>
        <w:t>例。</w:t>
      </w:r>
    </w:p>
    <w:p>
      <w:pPr>
        <w:pStyle w:val="BodyText"/>
        <w:ind w:left="845"/>
        <w:spacing w:before="1" w:line="220" w:lineRule="auto"/>
        <w:rPr/>
      </w:pPr>
      <w:r>
        <w:rPr>
          <w:color w:val="231F20"/>
          <w:spacing w:val="-6"/>
        </w:rPr>
        <w:t>1.2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方法</w:t>
      </w:r>
    </w:p>
    <w:p>
      <w:pPr>
        <w:pStyle w:val="BodyText"/>
        <w:ind w:left="434" w:right="234" w:firstLine="396"/>
        <w:spacing w:before="61" w:line="277" w:lineRule="auto"/>
        <w:rPr/>
      </w:pPr>
      <w:r>
        <w:rPr>
          <w:color w:val="231F20"/>
          <w:spacing w:val="5"/>
        </w:rPr>
        <w:t>对所有患者进行阴道超声检查：在检查前叮嘱患者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排空小便，同时准备好相关器具，检查时引导患者取膀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胱截石位后，在彩色多普勒超声仪（型号：</w:t>
      </w:r>
      <w:r>
        <w:rPr>
          <w:color w:val="231F20"/>
          <w:spacing w:val="-14"/>
        </w:rPr>
        <w:t>E8C，探头频率：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8</w:t>
      </w:r>
      <w:r>
        <w:rPr>
          <w:color w:val="231F20"/>
          <w:spacing w:val="-46"/>
        </w:rPr>
        <w:t xml:space="preserve"> </w:t>
      </w:r>
      <w:r>
        <w:rPr>
          <w:color w:val="231F20"/>
        </w:rPr>
        <w:t>MHz</w:t>
      </w:r>
      <w:r>
        <w:rPr>
          <w:color w:val="231F20"/>
          <w:spacing w:val="3"/>
        </w:rPr>
        <w:t>）的探头上套好一安全套，涂抹适量的耦合剂，缓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慢轻柔置入患者阴道内部后转动探头，先用二维超声检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测患者子宫附件周围情况，发现病变区域后进行详细检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467"/>
        <w:spacing w:before="65" w:line="221" w:lineRule="auto"/>
        <w:rPr>
          <w:sz w:val="16"/>
          <w:szCs w:val="16"/>
        </w:rPr>
      </w:pPr>
      <w:r>
        <w:rPr>
          <w:rFonts w:ascii="SimHei" w:hAnsi="SimHei" w:eastAsia="SimHei" w:cs="SimHei"/>
          <w:color w:val="231F20"/>
        </w:rPr>
        <w:t>【文章编号】</w:t>
      </w:r>
      <w:r>
        <w:rPr>
          <w:sz w:val="16"/>
          <w:szCs w:val="16"/>
          <w:color w:val="231F20"/>
        </w:rPr>
        <w:t>2096-3807（2021）11-0151-02</w:t>
      </w:r>
    </w:p>
    <w:p>
      <w:pPr>
        <w:pStyle w:val="BodyText"/>
        <w:ind w:left="8" w:right="15" w:firstLine="2"/>
        <w:spacing w:before="237" w:line="282" w:lineRule="auto"/>
        <w:jc w:val="both"/>
        <w:rPr/>
      </w:pPr>
      <w:r>
        <w:rPr>
          <w:color w:val="231F20"/>
          <w:spacing w:val="-9"/>
        </w:rPr>
        <w:t>查，并记录好病变区域的情况，然后使用多普勒彩色超声，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观察其血流情况，结束检查后提供纸巾给患者，擦拭残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留耦合剂，综合检查情况进行分析，得出检测报告。</w:t>
      </w:r>
    </w:p>
    <w:p>
      <w:pPr>
        <w:pStyle w:val="BodyText"/>
        <w:ind w:left="420"/>
        <w:spacing w:line="219" w:lineRule="auto"/>
        <w:rPr/>
      </w:pPr>
      <w:r>
        <w:rPr>
          <w:color w:val="231F20"/>
          <w:spacing w:val="-3"/>
        </w:rPr>
        <w:t>1.3 观察指标</w:t>
      </w:r>
    </w:p>
    <w:p>
      <w:pPr>
        <w:pStyle w:val="BodyText"/>
        <w:ind w:left="7" w:firstLine="399"/>
        <w:spacing w:before="71" w:line="282" w:lineRule="auto"/>
        <w:rPr/>
      </w:pPr>
      <w:r>
        <w:rPr>
          <w:color w:val="231F20"/>
          <w:spacing w:val="1"/>
        </w:rPr>
        <w:t>本实验中的观察指标主要包括</w:t>
      </w:r>
      <w:r>
        <w:rPr>
          <w:color w:val="231F20"/>
          <w:spacing w:val="-6"/>
        </w:rPr>
        <w:t>：（</w:t>
      </w:r>
      <w:r>
        <w:rPr>
          <w:color w:val="231F20"/>
          <w:spacing w:val="1"/>
        </w:rPr>
        <w:t>1）超声检查与临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床综合诊断结果比较：比较阴道彩超检查与临床综合诊断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结果相比，对于子宫内膜异位囊肿、输卵管积液、囊腺癌、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卵巢囊肿蒂扭转以及附件炎性包块的检出率。（2）包裹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性积液检出率比较：比较超声检查和穿刺检</w:t>
      </w:r>
      <w:r>
        <w:rPr>
          <w:color w:val="231F20"/>
          <w:spacing w:val="4"/>
        </w:rPr>
        <w:t>查对于包裹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性积液的检出率。</w:t>
      </w:r>
    </w:p>
    <w:p>
      <w:pPr>
        <w:pStyle w:val="BodyText"/>
        <w:ind w:left="420"/>
        <w:spacing w:before="2" w:line="220" w:lineRule="auto"/>
        <w:rPr/>
      </w:pPr>
      <w:r>
        <w:rPr>
          <w:color w:val="231F20"/>
          <w:spacing w:val="-5"/>
        </w:rPr>
        <w:t>1.4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统计学方法</w:t>
      </w:r>
    </w:p>
    <w:p>
      <w:pPr>
        <w:pStyle w:val="BodyText"/>
        <w:ind w:left="8" w:right="70" w:firstLine="398"/>
        <w:spacing w:before="67" w:line="278" w:lineRule="auto"/>
        <w:rPr/>
      </w:pPr>
      <w:r>
        <w:rPr>
          <w:color w:val="231F20"/>
          <w:spacing w:val="-2"/>
        </w:rPr>
        <w:t>经由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SPSS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2"/>
        </w:rPr>
        <w:t>22.0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2"/>
        </w:rPr>
        <w:t>进行数据分析，对以率（%）表述的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计数资料予以 χ</w:t>
      </w:r>
      <w:r>
        <w:rPr>
          <w:sz w:val="11"/>
          <w:szCs w:val="11"/>
          <w:color w:val="231F20"/>
          <w:spacing w:val="-2"/>
          <w:position w:val="9"/>
        </w:rPr>
        <w:t>2 </w:t>
      </w:r>
      <w:r>
        <w:rPr>
          <w:color w:val="231F20"/>
          <w:spacing w:val="-2"/>
        </w:rPr>
        <w:t>检验，结果呈现</w:t>
      </w:r>
      <w:r>
        <w:rPr>
          <w:color w:val="231F20"/>
          <w:spacing w:val="-26"/>
        </w:rPr>
        <w:t xml:space="preserve"> </w:t>
      </w:r>
      <w:r>
        <w:rPr>
          <w:i/>
          <w:iCs/>
          <w:color w:val="231F20"/>
          <w:spacing w:val="-2"/>
        </w:rPr>
        <w:t>P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＜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0.05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则差异具有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统计学意义。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5"/>
        <w:spacing w:before="66" w:line="269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color w:val="231F20"/>
          <w:spacing w:val="-2"/>
          <w:position w:val="1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2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color w:val="231F20"/>
          <w:spacing w:val="-2"/>
          <w:position w:val="1"/>
        </w:rPr>
        <w:t>结果</w:t>
      </w:r>
    </w:p>
    <w:p>
      <w:pPr>
        <w:pStyle w:val="BodyText"/>
        <w:ind w:left="408"/>
        <w:spacing w:before="44" w:line="220" w:lineRule="auto"/>
        <w:rPr/>
      </w:pPr>
      <w:r>
        <w:rPr>
          <w:color w:val="231F20"/>
          <w:spacing w:val="-1"/>
        </w:rPr>
        <w:t>2.1 超声检查与临床综合诊断结果比较</w:t>
      </w:r>
    </w:p>
    <w:p>
      <w:pPr>
        <w:pStyle w:val="BodyText"/>
        <w:ind w:left="8" w:right="69" w:firstLine="396"/>
        <w:spacing w:before="70" w:line="283" w:lineRule="auto"/>
        <w:rPr/>
      </w:pPr>
      <w:r>
        <w:rPr>
          <w:color w:val="231F20"/>
          <w:spacing w:val="5"/>
        </w:rPr>
        <w:t>对比超声检查与临床综合诊断结果发现，超声检查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对于子宫内膜异位囊肿、输卵管积液、囊腺癌、卵巢囊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肿蒂扭转以及附件炎性包块的检出率与临床综合诊断结 </w:t>
      </w:r>
      <w:r>
        <w:rPr>
          <w:color w:val="231F20"/>
          <w:spacing w:val="-4"/>
        </w:rPr>
        <w:t>果无明显差异（</w:t>
      </w:r>
      <w:r>
        <w:rPr>
          <w:i/>
          <w:iCs/>
          <w:color w:val="231F20"/>
          <w:spacing w:val="-4"/>
        </w:rPr>
        <w:t>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＞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0.05</w:t>
      </w:r>
      <w:r>
        <w:rPr>
          <w:color w:val="231F20"/>
          <w:spacing w:val="4"/>
        </w:rPr>
        <w:t>），</w:t>
      </w:r>
      <w:r>
        <w:rPr>
          <w:color w:val="231F20"/>
          <w:spacing w:val="-4"/>
        </w:rPr>
        <w:t>见表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1。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052"/>
        <w:spacing w:before="52" w:line="220" w:lineRule="auto"/>
        <w:outlineLvl w:val="1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表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1  超声检查与临床综合诊断结果比较</w:t>
      </w:r>
    </w:p>
    <w:p>
      <w:pPr>
        <w:spacing w:line="47" w:lineRule="exact"/>
        <w:rPr/>
      </w:pPr>
      <w:r/>
    </w:p>
    <w:tbl>
      <w:tblPr>
        <w:tblStyle w:val="TableNormal"/>
        <w:tblW w:w="493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97"/>
        <w:gridCol w:w="751"/>
        <w:gridCol w:w="743"/>
        <w:gridCol w:w="853"/>
        <w:gridCol w:w="596"/>
        <w:gridCol w:w="594"/>
      </w:tblGrid>
      <w:tr>
        <w:trPr>
          <w:trHeight w:val="276" w:hRule="atLeast"/>
        </w:trPr>
        <w:tc>
          <w:tcPr>
            <w:tcW w:w="1397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85"/>
              <w:spacing w:before="195" w:line="220" w:lineRule="auto"/>
              <w:rPr/>
            </w:pPr>
            <w:r>
              <w:rPr>
                <w:color w:val="231F20"/>
                <w:spacing w:val="-2"/>
              </w:rPr>
              <w:t>疾病类型</w:t>
            </w:r>
          </w:p>
        </w:tc>
        <w:tc>
          <w:tcPr>
            <w:tcW w:w="1494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pStyle w:val="TableText"/>
              <w:ind w:left="71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组织病理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3"/>
              </w:rPr>
              <w:t>阴道彩超</w:t>
            </w:r>
          </w:p>
        </w:tc>
        <w:tc>
          <w:tcPr>
            <w:tcW w:w="853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63" w:right="74" w:firstLine="122"/>
              <w:spacing w:before="45" w:line="286" w:lineRule="auto"/>
              <w:rPr/>
            </w:pPr>
            <w:r>
              <w:rPr>
                <w:color w:val="231F20"/>
                <w:spacing w:val="-3"/>
              </w:rPr>
              <w:t>误诊率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/[n（%）]</w:t>
            </w:r>
          </w:p>
        </w:tc>
        <w:tc>
          <w:tcPr>
            <w:tcW w:w="59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42"/>
              <w:spacing w:before="175" w:line="237" w:lineRule="exact"/>
              <w:rPr>
                <w:sz w:val="9"/>
                <w:szCs w:val="9"/>
              </w:rPr>
            </w:pPr>
            <w:r>
              <w:rPr>
                <w:color w:val="231F20"/>
                <w:spacing w:val="-46"/>
              </w:rPr>
              <w:t>χ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2</w:t>
            </w:r>
          </w:p>
        </w:tc>
        <w:tc>
          <w:tcPr>
            <w:tcW w:w="59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58"/>
              <w:spacing w:before="221" w:line="182" w:lineRule="auto"/>
              <w:rPr/>
            </w:pPr>
            <w:r>
              <w:rPr>
                <w:i/>
                <w:iCs/>
                <w:color w:val="231F20"/>
              </w:rPr>
              <w:t>P</w:t>
            </w:r>
          </w:p>
        </w:tc>
      </w:tr>
      <w:tr>
        <w:trPr>
          <w:trHeight w:val="275" w:hRule="atLeast"/>
        </w:trPr>
        <w:tc>
          <w:tcPr>
            <w:tcW w:w="1397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9"/>
              <w:spacing w:before="69" w:line="225" w:lineRule="auto"/>
              <w:rPr/>
            </w:pPr>
            <w:r>
              <w:rPr>
                <w:color w:val="231F20"/>
                <w:spacing w:val="-2"/>
              </w:rPr>
              <w:t>/n</w:t>
            </w:r>
          </w:p>
        </w:tc>
        <w:tc>
          <w:tcPr>
            <w:tcW w:w="74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2"/>
              <w:spacing w:before="69" w:line="225" w:lineRule="auto"/>
              <w:rPr/>
            </w:pPr>
            <w:r>
              <w:rPr>
                <w:color w:val="231F20"/>
                <w:spacing w:val="-2"/>
              </w:rPr>
              <w:t>/n</w:t>
            </w:r>
          </w:p>
        </w:tc>
        <w:tc>
          <w:tcPr>
            <w:tcW w:w="853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tcW w:w="139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66"/>
              <w:spacing w:before="40" w:line="220" w:lineRule="auto"/>
              <w:rPr/>
            </w:pPr>
            <w:r>
              <w:rPr>
                <w:color w:val="231F20"/>
                <w:spacing w:val="-1"/>
              </w:rPr>
              <w:t>子宫内膜异位囊肿</w:t>
            </w:r>
          </w:p>
        </w:tc>
        <w:tc>
          <w:tcPr>
            <w:tcW w:w="75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12"/>
              <w:spacing w:before="41" w:line="222" w:lineRule="auto"/>
              <w:rPr/>
            </w:pPr>
            <w:r>
              <w:rPr>
                <w:color w:val="231F20"/>
                <w:spacing w:val="-3"/>
              </w:rPr>
              <w:t>36</w:t>
            </w:r>
          </w:p>
        </w:tc>
        <w:tc>
          <w:tcPr>
            <w:tcW w:w="74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96"/>
              <w:spacing w:before="41" w:line="222" w:lineRule="auto"/>
              <w:rPr/>
            </w:pPr>
            <w:r>
              <w:rPr>
                <w:color w:val="231F20"/>
                <w:spacing w:val="-3"/>
              </w:rPr>
              <w:t>34</w:t>
            </w:r>
          </w:p>
        </w:tc>
        <w:tc>
          <w:tcPr>
            <w:tcW w:w="85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66"/>
              <w:spacing w:before="41" w:line="222" w:lineRule="auto"/>
              <w:rPr/>
            </w:pPr>
            <w:r>
              <w:rPr>
                <w:color w:val="231F20"/>
                <w:spacing w:val="-2"/>
              </w:rPr>
              <w:t>2（5.55）</w:t>
            </w:r>
          </w:p>
        </w:tc>
        <w:tc>
          <w:tcPr>
            <w:tcW w:w="59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8"/>
              <w:spacing w:before="41" w:line="222" w:lineRule="auto"/>
              <w:rPr/>
            </w:pPr>
            <w:r>
              <w:rPr>
                <w:color w:val="231F20"/>
                <w:spacing w:val="-2"/>
              </w:rPr>
              <w:t>2.057</w:t>
            </w:r>
          </w:p>
        </w:tc>
        <w:tc>
          <w:tcPr>
            <w:tcW w:w="59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3"/>
              <w:spacing w:before="41" w:line="222" w:lineRule="auto"/>
              <w:rPr/>
            </w:pPr>
            <w:r>
              <w:rPr>
                <w:color w:val="231F20"/>
                <w:spacing w:val="-2"/>
              </w:rPr>
              <w:t>0.151</w:t>
            </w:r>
          </w:p>
        </w:tc>
      </w:tr>
      <w:tr>
        <w:trPr>
          <w:trHeight w:val="510" w:hRule="atLeast"/>
        </w:trPr>
        <w:tc>
          <w:tcPr>
            <w:tcW w:w="1397" w:type="dxa"/>
            <w:vAlign w:val="top"/>
          </w:tcPr>
          <w:p>
            <w:pPr>
              <w:pStyle w:val="TableText"/>
              <w:ind w:left="305"/>
              <w:spacing w:before="53" w:line="220" w:lineRule="auto"/>
              <w:rPr/>
            </w:pPr>
            <w:r>
              <w:rPr>
                <w:color w:val="231F20"/>
                <w:spacing w:val="-1"/>
              </w:rPr>
              <w:t>输卵管积液</w:t>
            </w:r>
          </w:p>
          <w:p>
            <w:pPr>
              <w:pStyle w:val="TableText"/>
              <w:ind w:left="465"/>
              <w:spacing w:before="66" w:line="219" w:lineRule="auto"/>
              <w:rPr/>
            </w:pPr>
            <w:r>
              <w:rPr>
                <w:color w:val="231F20"/>
                <w:spacing w:val="-2"/>
              </w:rPr>
              <w:t>囊腺癌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321"/>
              <w:spacing w:before="53"/>
              <w:rPr/>
            </w:pPr>
            <w:r>
              <w:rPr>
                <w:color w:val="231F20"/>
                <w:spacing w:val="-5"/>
              </w:rPr>
              <w:t>16</w:t>
            </w:r>
          </w:p>
          <w:p>
            <w:pPr>
              <w:pStyle w:val="TableText"/>
              <w:ind w:left="312"/>
              <w:spacing w:before="48" w:line="219" w:lineRule="auto"/>
              <w:rPr/>
            </w:pPr>
            <w:r>
              <w:rPr>
                <w:color w:val="231F20"/>
                <w:spacing w:val="-3"/>
              </w:rPr>
              <w:t>35</w:t>
            </w:r>
          </w:p>
        </w:tc>
        <w:tc>
          <w:tcPr>
            <w:tcW w:w="743" w:type="dxa"/>
            <w:vAlign w:val="top"/>
          </w:tcPr>
          <w:p>
            <w:pPr>
              <w:pStyle w:val="TableText"/>
              <w:ind w:left="305"/>
              <w:spacing w:before="53"/>
              <w:rPr/>
            </w:pPr>
            <w:r>
              <w:rPr>
                <w:color w:val="231F20"/>
                <w:spacing w:val="-5"/>
              </w:rPr>
              <w:t>15</w:t>
            </w:r>
          </w:p>
          <w:p>
            <w:pPr>
              <w:pStyle w:val="TableText"/>
              <w:ind w:left="296"/>
              <w:spacing w:before="48" w:line="219" w:lineRule="auto"/>
              <w:rPr/>
            </w:pPr>
            <w:r>
              <w:rPr>
                <w:color w:val="231F20"/>
                <w:spacing w:val="-3"/>
              </w:rPr>
              <w:t>33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76"/>
              <w:spacing w:before="53" w:line="232" w:lineRule="auto"/>
              <w:rPr/>
            </w:pPr>
            <w:r>
              <w:rPr>
                <w:color w:val="231F20"/>
                <w:spacing w:val="-3"/>
              </w:rPr>
              <w:t>1（6.25）</w:t>
            </w:r>
          </w:p>
          <w:p>
            <w:pPr>
              <w:pStyle w:val="TableText"/>
              <w:ind w:left="66"/>
              <w:spacing w:before="55" w:line="219" w:lineRule="auto"/>
              <w:rPr/>
            </w:pPr>
            <w:r>
              <w:rPr>
                <w:color w:val="231F20"/>
                <w:spacing w:val="-2"/>
              </w:rPr>
              <w:t>2（5.71）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18"/>
              <w:spacing w:before="53" w:line="239" w:lineRule="auto"/>
              <w:rPr/>
            </w:pPr>
            <w:r>
              <w:rPr>
                <w:color w:val="231F20"/>
                <w:spacing w:val="-3"/>
              </w:rPr>
              <w:t>1.032</w:t>
            </w:r>
          </w:p>
          <w:p>
            <w:pPr>
              <w:pStyle w:val="TableText"/>
              <w:ind w:left="108"/>
              <w:spacing w:before="49" w:line="219" w:lineRule="auto"/>
              <w:rPr/>
            </w:pPr>
            <w:r>
              <w:rPr>
                <w:color w:val="231F20"/>
                <w:spacing w:val="-2"/>
              </w:rPr>
              <w:t>2.116</w:t>
            </w:r>
          </w:p>
        </w:tc>
        <w:tc>
          <w:tcPr>
            <w:tcW w:w="594" w:type="dxa"/>
            <w:vAlign w:val="top"/>
          </w:tcPr>
          <w:p>
            <w:pPr>
              <w:pStyle w:val="TableText"/>
              <w:ind w:left="103"/>
              <w:spacing w:before="53" w:line="239" w:lineRule="auto"/>
              <w:rPr/>
            </w:pPr>
            <w:r>
              <w:rPr>
                <w:color w:val="231F20"/>
                <w:spacing w:val="-2"/>
              </w:rPr>
              <w:t>0.309</w:t>
            </w:r>
          </w:p>
          <w:p>
            <w:pPr>
              <w:pStyle w:val="TableText"/>
              <w:ind w:left="103"/>
              <w:spacing w:before="49" w:line="219" w:lineRule="auto"/>
              <w:rPr/>
            </w:pPr>
            <w:r>
              <w:rPr>
                <w:color w:val="231F20"/>
                <w:spacing w:val="-2"/>
              </w:rPr>
              <w:t>0.145</w:t>
            </w:r>
          </w:p>
        </w:tc>
      </w:tr>
      <w:tr>
        <w:trPr>
          <w:trHeight w:val="256" w:hRule="atLeast"/>
        </w:trPr>
        <w:tc>
          <w:tcPr>
            <w:tcW w:w="1397" w:type="dxa"/>
            <w:vAlign w:val="top"/>
          </w:tcPr>
          <w:p>
            <w:pPr>
              <w:pStyle w:val="TableText"/>
              <w:ind w:left="150"/>
              <w:spacing w:before="57" w:line="218" w:lineRule="auto"/>
              <w:rPr/>
            </w:pPr>
            <w:r>
              <w:rPr>
                <w:color w:val="231F20"/>
                <w:spacing w:val="-2"/>
              </w:rPr>
              <w:t>卵巢囊肿蒂扭转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321"/>
              <w:spacing w:before="57" w:line="218" w:lineRule="auto"/>
              <w:rPr/>
            </w:pPr>
            <w:r>
              <w:rPr>
                <w:color w:val="231F20"/>
                <w:spacing w:val="-5"/>
              </w:rPr>
              <w:t>13</w:t>
            </w:r>
          </w:p>
        </w:tc>
        <w:tc>
          <w:tcPr>
            <w:tcW w:w="743" w:type="dxa"/>
            <w:vAlign w:val="top"/>
          </w:tcPr>
          <w:p>
            <w:pPr>
              <w:pStyle w:val="TableText"/>
              <w:ind w:left="305"/>
              <w:spacing w:before="57" w:line="218" w:lineRule="auto"/>
              <w:rPr/>
            </w:pPr>
            <w:r>
              <w:rPr>
                <w:color w:val="231F20"/>
                <w:spacing w:val="-5"/>
              </w:rPr>
              <w:t>12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76"/>
              <w:spacing w:before="57" w:line="218" w:lineRule="auto"/>
              <w:rPr/>
            </w:pPr>
            <w:r>
              <w:rPr>
                <w:color w:val="231F20"/>
                <w:spacing w:val="-3"/>
              </w:rPr>
              <w:t>1（7.69）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18"/>
              <w:spacing w:before="57" w:line="218" w:lineRule="auto"/>
              <w:rPr/>
            </w:pPr>
            <w:r>
              <w:rPr>
                <w:color w:val="231F20"/>
                <w:spacing w:val="-3"/>
              </w:rPr>
              <w:t>1.040</w:t>
            </w:r>
          </w:p>
        </w:tc>
        <w:tc>
          <w:tcPr>
            <w:tcW w:w="594" w:type="dxa"/>
            <w:vAlign w:val="top"/>
          </w:tcPr>
          <w:p>
            <w:pPr>
              <w:pStyle w:val="TableText"/>
              <w:ind w:left="103"/>
              <w:spacing w:before="57" w:line="218" w:lineRule="auto"/>
              <w:rPr/>
            </w:pPr>
            <w:r>
              <w:rPr>
                <w:color w:val="231F20"/>
                <w:spacing w:val="-2"/>
              </w:rPr>
              <w:t>0.307</w:t>
            </w:r>
          </w:p>
        </w:tc>
      </w:tr>
      <w:tr>
        <w:trPr>
          <w:trHeight w:val="263" w:hRule="atLeast"/>
        </w:trPr>
        <w:tc>
          <w:tcPr>
            <w:tcW w:w="139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8"/>
              <w:spacing w:before="57" w:line="219" w:lineRule="auto"/>
              <w:rPr/>
            </w:pPr>
            <w:r>
              <w:rPr>
                <w:color w:val="231F20"/>
                <w:spacing w:val="-3"/>
              </w:rPr>
              <w:t>附件炎性包块</w:t>
            </w:r>
          </w:p>
        </w:tc>
        <w:tc>
          <w:tcPr>
            <w:tcW w:w="7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1"/>
              <w:spacing w:before="58" w:line="225" w:lineRule="auto"/>
              <w:rPr/>
            </w:pPr>
            <w:r>
              <w:rPr>
                <w:color w:val="231F20"/>
                <w:spacing w:val="-5"/>
              </w:rPr>
              <w:t>15</w:t>
            </w:r>
          </w:p>
        </w:tc>
        <w:tc>
          <w:tcPr>
            <w:tcW w:w="74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5"/>
              <w:spacing w:before="58" w:line="225" w:lineRule="auto"/>
              <w:rPr/>
            </w:pPr>
            <w:r>
              <w:rPr>
                <w:color w:val="231F20"/>
                <w:spacing w:val="-5"/>
              </w:rPr>
              <w:t>14</w:t>
            </w:r>
          </w:p>
        </w:tc>
        <w:tc>
          <w:tcPr>
            <w:tcW w:w="85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6"/>
              <w:spacing w:before="58" w:line="225" w:lineRule="auto"/>
              <w:rPr/>
            </w:pPr>
            <w:r>
              <w:rPr>
                <w:color w:val="231F20"/>
                <w:spacing w:val="-3"/>
              </w:rPr>
              <w:t>1（6.67）</w:t>
            </w:r>
          </w:p>
        </w:tc>
        <w:tc>
          <w:tcPr>
            <w:tcW w:w="59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8"/>
              <w:spacing w:before="58" w:line="225" w:lineRule="auto"/>
              <w:rPr/>
            </w:pPr>
            <w:r>
              <w:rPr>
                <w:color w:val="231F20"/>
                <w:spacing w:val="-3"/>
              </w:rPr>
              <w:t>1.034</w:t>
            </w:r>
          </w:p>
        </w:tc>
        <w:tc>
          <w:tcPr>
            <w:tcW w:w="59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3"/>
              <w:spacing w:before="58" w:line="225" w:lineRule="auto"/>
              <w:rPr/>
            </w:pPr>
            <w:r>
              <w:rPr>
                <w:color w:val="231F20"/>
                <w:spacing w:val="-2"/>
              </w:rPr>
              <w:t>0.309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5" w:line="220" w:lineRule="auto"/>
        <w:rPr/>
      </w:pPr>
      <w:r>
        <w:rPr>
          <w:color w:val="231F20"/>
          <w:spacing w:val="-1"/>
        </w:rPr>
        <w:t>2.2 包裹性积液检出率比较</w:t>
      </w:r>
    </w:p>
    <w:p>
      <w:pPr>
        <w:pStyle w:val="BodyText"/>
        <w:ind w:left="427"/>
        <w:spacing w:before="68" w:line="220" w:lineRule="auto"/>
        <w:rPr/>
      </w:pPr>
      <w:r>
        <w:rPr>
          <w:color w:val="231F20"/>
          <w:spacing w:val="4"/>
        </w:rPr>
        <w:t>比较超声检查和穿刺检查对于包裹性积液的检出率</w:t>
      </w:r>
    </w:p>
    <w:p>
      <w:pPr>
        <w:spacing w:line="220" w:lineRule="auto"/>
        <w:sectPr>
          <w:type w:val="continuous"/>
          <w:pgSz w:w="11906" w:h="16158"/>
          <w:pgMar w:top="1003" w:right="779" w:bottom="0" w:left="424" w:header="642" w:footer="0" w:gutter="0"/>
          <w:cols w:equalWidth="0" w:num="2">
            <w:col w:w="5598" w:space="100"/>
            <w:col w:w="5005" w:space="0"/>
          </w:cols>
        </w:sectPr>
        <w:rPr/>
      </w:pPr>
    </w:p>
    <w:p>
      <w:pPr>
        <w:spacing w:before="258" w:line="201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icrosoft YaHei" w:hAnsi="Microsoft YaHei" w:eastAsia="Microsoft YaHei" w:cs="Microsoft YaHei"/>
          <w:sz w:val="23"/>
          <w:szCs w:val="23"/>
          <w:color w:val="999999"/>
          <w:position w:val="-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14"/>
          <w:position w:val="-4"/>
        </w:rPr>
        <w:t xml:space="preserve">    </w:t>
      </w:r>
      <w:r>
        <w:rPr>
          <w:rFonts w:ascii="Arial" w:hAnsi="Arial" w:eastAsia="Arial" w:cs="Arial"/>
          <w:sz w:val="23"/>
          <w:szCs w:val="23"/>
          <w:color w:val="999999"/>
          <w:position w:val="-4"/>
        </w:rPr>
        <w:t>https:</w:t>
      </w:r>
      <w:r>
        <w:rPr>
          <w:sz w:val="23"/>
          <w:szCs w:val="23"/>
          <w:position w:val="-6"/>
        </w:rPr>
        <w:drawing>
          <wp:inline distT="0" distB="0" distL="0" distR="0">
            <wp:extent cx="45084" cy="1143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position w:val="-6"/>
        </w:rPr>
        <w:drawing>
          <wp:inline distT="0" distB="0" distL="0" distR="0">
            <wp:extent cx="45084" cy="1143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3"/>
          <w:szCs w:val="23"/>
          <w:color w:val="999999"/>
          <w:position w:val="-4"/>
        </w:rPr>
        <w:t>Www.</w:t>
      </w:r>
      <w:r>
        <w:rPr>
          <w:rFonts w:ascii="Arial" w:hAnsi="Arial" w:eastAsia="Arial" w:cs="Arial"/>
          <w:sz w:val="23"/>
          <w:szCs w:val="23"/>
          <w:color w:val="999999"/>
        </w:rPr>
        <w:t>cnk</w:t>
      </w:r>
      <w:r>
        <w:rPr>
          <w:rFonts w:ascii="Arial" w:hAnsi="Arial" w:eastAsia="Arial" w:cs="Arial"/>
          <w:sz w:val="23"/>
          <w:szCs w:val="23"/>
          <w:color w:val="999999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inet</w:t>
      </w:r>
      <w:r>
        <w:rPr>
          <w:rFonts w:ascii="Arial" w:hAnsi="Arial" w:eastAsia="Arial" w:cs="Arial"/>
          <w:sz w:val="23"/>
          <w:szCs w:val="23"/>
          <w:color w:val="999999"/>
        </w:rPr>
        <w:t xml:space="preserve">                                                                                                </w:t>
      </w:r>
      <w:r>
        <w:rPr>
          <w:rFonts w:ascii="Arial" w:hAnsi="Arial" w:eastAsia="Arial" w:cs="Arial"/>
          <w:sz w:val="23"/>
          <w:szCs w:val="23"/>
          <w:color w:val="999999"/>
          <w:spacing w:val="-1"/>
        </w:rPr>
        <w:t xml:space="preserve">           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-1"/>
          <w:position w:val="2"/>
        </w:rPr>
        <w:t>151</w:t>
      </w:r>
    </w:p>
    <w:p>
      <w:pPr>
        <w:spacing w:line="201" w:lineRule="auto"/>
        <w:sectPr>
          <w:type w:val="continuous"/>
          <w:pgSz w:w="11906" w:h="16158"/>
          <w:pgMar w:top="1003" w:right="779" w:bottom="0" w:left="424" w:header="642" w:footer="0" w:gutter="0"/>
          <w:cols w:equalWidth="0" w:num="1">
            <w:col w:w="10703" w:space="0"/>
          </w:cols>
        </w:sect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4"/>
          <w:footerReference w:type="default" r:id="rId5"/>
          <w:pgSz w:w="11906" w:h="16158"/>
          <w:pgMar w:top="1046" w:right="779" w:bottom="698" w:left="424" w:header="618" w:footer="316" w:gutter="0"/>
          <w:cols w:equalWidth="0" w:num="1">
            <w:col w:w="10703" w:space="0"/>
          </w:cols>
        </w:sectPr>
        <w:rPr/>
      </w:pPr>
    </w:p>
    <w:p>
      <w:pPr>
        <w:pStyle w:val="BodyText"/>
        <w:ind w:left="437"/>
        <w:spacing w:before="39" w:line="220" w:lineRule="auto"/>
        <w:rPr/>
      </w:pPr>
      <w:r>
        <w:rPr>
          <w:color w:val="231F20"/>
          <w:spacing w:val="-4"/>
        </w:rPr>
        <w:t>发现，两组的检查结果无明显差异（</w:t>
      </w:r>
      <w:r>
        <w:rPr>
          <w:i/>
          <w:iCs/>
          <w:color w:val="231F20"/>
          <w:spacing w:val="-4"/>
        </w:rPr>
        <w:t>P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4"/>
        </w:rPr>
        <w:t>＞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4"/>
        </w:rPr>
        <w:t>0.05</w:t>
      </w:r>
      <w:r>
        <w:rPr>
          <w:color w:val="231F20"/>
          <w:spacing w:val="-27"/>
        </w:rPr>
        <w:t>），</w:t>
      </w:r>
      <w:r>
        <w:rPr>
          <w:color w:val="231F20"/>
          <w:spacing w:val="-4"/>
        </w:rPr>
        <w:t>见表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4"/>
        </w:rPr>
        <w:t>2。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1538"/>
        <w:spacing w:before="52" w:line="220" w:lineRule="auto"/>
        <w:outlineLvl w:val="1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表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3"/>
        </w:rPr>
        <w:t>2  包裹性积液检出率比较 [n（%）]</w:t>
      </w:r>
    </w:p>
    <w:p>
      <w:pPr>
        <w:spacing w:line="46" w:lineRule="exact"/>
        <w:rPr/>
      </w:pPr>
      <w:r/>
    </w:p>
    <w:tbl>
      <w:tblPr>
        <w:tblStyle w:val="TableNormal"/>
        <w:tblW w:w="4932" w:type="dxa"/>
        <w:tblInd w:w="4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86"/>
        <w:gridCol w:w="2446"/>
      </w:tblGrid>
      <w:tr>
        <w:trPr>
          <w:trHeight w:val="252" w:hRule="atLeast"/>
        </w:trPr>
        <w:tc>
          <w:tcPr>
            <w:tcW w:w="248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19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检查类型</w:t>
            </w:r>
          </w:p>
        </w:tc>
        <w:tc>
          <w:tcPr>
            <w:tcW w:w="244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99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检出例数</w:t>
            </w:r>
          </w:p>
        </w:tc>
      </w:tr>
      <w:tr>
        <w:trPr>
          <w:trHeight w:val="243" w:hRule="atLeast"/>
        </w:trPr>
        <w:tc>
          <w:tcPr>
            <w:tcW w:w="248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27"/>
              <w:spacing w:before="39" w:line="220" w:lineRule="auto"/>
              <w:rPr/>
            </w:pPr>
            <w:r>
              <w:rPr>
                <w:color w:val="231F20"/>
                <w:spacing w:val="-3"/>
              </w:rPr>
              <w:t>穿刺检查</w:t>
            </w:r>
          </w:p>
        </w:tc>
        <w:tc>
          <w:tcPr>
            <w:tcW w:w="244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861"/>
              <w:spacing w:before="40" w:line="222" w:lineRule="auto"/>
              <w:rPr/>
            </w:pPr>
            <w:r>
              <w:rPr>
                <w:color w:val="231F20"/>
                <w:spacing w:val="-3"/>
              </w:rPr>
              <w:t>23（100）</w:t>
            </w:r>
          </w:p>
        </w:tc>
      </w:tr>
      <w:tr>
        <w:trPr>
          <w:trHeight w:val="250" w:hRule="atLeast"/>
        </w:trPr>
        <w:tc>
          <w:tcPr>
            <w:tcW w:w="2486" w:type="dxa"/>
            <w:vAlign w:val="top"/>
          </w:tcPr>
          <w:p>
            <w:pPr>
              <w:pStyle w:val="TableText"/>
              <w:ind w:left="771"/>
              <w:spacing w:before="53" w:line="215" w:lineRule="auto"/>
              <w:rPr/>
            </w:pPr>
            <w:r>
              <w:rPr>
                <w:color w:val="231F20"/>
                <w:spacing w:val="-3"/>
              </w:rPr>
              <w:t>阴道超声检查</w:t>
            </w:r>
          </w:p>
        </w:tc>
        <w:tc>
          <w:tcPr>
            <w:tcW w:w="2446" w:type="dxa"/>
            <w:vAlign w:val="top"/>
          </w:tcPr>
          <w:p>
            <w:pPr>
              <w:pStyle w:val="TableText"/>
              <w:ind w:left="781"/>
              <w:spacing w:before="53" w:line="215" w:lineRule="auto"/>
              <w:rPr/>
            </w:pPr>
            <w:r>
              <w:rPr>
                <w:color w:val="231F20"/>
                <w:spacing w:val="-1"/>
              </w:rPr>
              <w:t>21（91.30）</w:t>
            </w:r>
          </w:p>
        </w:tc>
      </w:tr>
      <w:tr>
        <w:trPr>
          <w:trHeight w:val="261" w:hRule="atLeast"/>
        </w:trPr>
        <w:tc>
          <w:tcPr>
            <w:tcW w:w="2486" w:type="dxa"/>
            <w:vAlign w:val="top"/>
          </w:tcPr>
          <w:p>
            <w:pPr>
              <w:pStyle w:val="TableText"/>
              <w:ind w:left="1175"/>
              <w:spacing w:before="40" w:line="210" w:lineRule="exact"/>
              <w:rPr>
                <w:sz w:val="9"/>
                <w:szCs w:val="9"/>
              </w:rPr>
            </w:pPr>
            <w:r>
              <w:rPr>
                <w:color w:val="231F20"/>
                <w:spacing w:val="-46"/>
              </w:rPr>
              <w:t>χ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2</w:t>
            </w:r>
          </w:p>
        </w:tc>
        <w:tc>
          <w:tcPr>
            <w:tcW w:w="2446" w:type="dxa"/>
            <w:vAlign w:val="top"/>
          </w:tcPr>
          <w:p>
            <w:pPr>
              <w:pStyle w:val="TableText"/>
              <w:ind w:left="1021"/>
              <w:spacing w:before="60" w:line="220" w:lineRule="auto"/>
              <w:rPr/>
            </w:pPr>
            <w:r>
              <w:rPr>
                <w:color w:val="231F20"/>
                <w:spacing w:val="-2"/>
              </w:rPr>
              <w:t>2.090</w:t>
            </w:r>
          </w:p>
        </w:tc>
      </w:tr>
      <w:tr>
        <w:trPr>
          <w:trHeight w:val="261" w:hRule="atLeast"/>
        </w:trPr>
        <w:tc>
          <w:tcPr>
            <w:tcW w:w="248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94"/>
              <w:spacing w:before="82" w:line="182" w:lineRule="auto"/>
              <w:rPr/>
            </w:pPr>
            <w:r>
              <w:rPr>
                <w:i/>
                <w:iCs/>
                <w:color w:val="231F20"/>
              </w:rPr>
              <w:t>P</w:t>
            </w:r>
          </w:p>
        </w:tc>
        <w:tc>
          <w:tcPr>
            <w:tcW w:w="244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20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0.148</w:t>
            </w:r>
          </w:p>
        </w:tc>
      </w:tr>
    </w:tbl>
    <w:p>
      <w:pPr>
        <w:spacing w:line="282" w:lineRule="auto"/>
        <w:rPr>
          <w:rFonts w:ascii="Arial"/>
          <w:sz w:val="21"/>
        </w:rPr>
      </w:pPr>
      <w:r/>
    </w:p>
    <w:p>
      <w:pPr>
        <w:ind w:left="430"/>
        <w:spacing w:before="66" w:line="266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color w:val="231F20"/>
          <w:spacing w:val="-2"/>
          <w:position w:val="1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2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color w:val="231F20"/>
          <w:spacing w:val="-2"/>
          <w:position w:val="1"/>
        </w:rPr>
        <w:t>讨论</w:t>
      </w:r>
    </w:p>
    <w:p>
      <w:pPr>
        <w:pStyle w:val="BodyText"/>
        <w:ind w:left="433" w:right="159" w:firstLine="398"/>
        <w:spacing w:before="36" w:line="277" w:lineRule="auto"/>
        <w:rPr/>
      </w:pPr>
      <w:r>
        <w:rPr>
          <w:color w:val="231F20"/>
        </w:rPr>
        <w:t>子宫附件主要出现的病变包括附件炎和附件</w:t>
      </w:r>
      <w:r>
        <w:rPr>
          <w:color w:val="231F20"/>
          <w:spacing w:val="-1"/>
        </w:rPr>
        <w:t>区包块，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附件区的包块如输卵管积液、囊腺瘤、子宫内膜异位囊肿、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卵巢血肿等统称为子宫附件囊性占位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[3]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2"/>
        </w:rPr>
        <w:t>。子宫</w:t>
      </w:r>
      <w:r>
        <w:rPr>
          <w:color w:val="231F20"/>
          <w:spacing w:val="1"/>
        </w:rPr>
        <w:t>内膜异位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囊肿主要由于子宫内膜脱位后移植或经淋巴管</w:t>
      </w:r>
      <w:r>
        <w:rPr>
          <w:color w:val="231F20"/>
          <w:spacing w:val="4"/>
        </w:rPr>
        <w:t>、静脉迁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移在腹膜、卵巢或其他系统生长形成囊肿，引起患者阴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道出血等现象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[4]</w:t>
      </w:r>
      <w:r>
        <w:rPr>
          <w:color w:val="231F20"/>
          <w:spacing w:val="3"/>
        </w:rPr>
        <w:t>。输卵管积液主要由输卵管有炎症，内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膜肿胀、间质渗出，未得到有效治疗时，炎症</w:t>
      </w:r>
      <w:r>
        <w:rPr>
          <w:color w:val="231F20"/>
          <w:spacing w:val="4"/>
        </w:rPr>
        <w:t>自行消退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后在腔内形成浆液或脓液；且附件炎症若长期不愈，则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形成炎性包块，严重者导致不孕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[5]</w:t>
      </w:r>
      <w:r>
        <w:rPr>
          <w:color w:val="231F20"/>
          <w:spacing w:val="3"/>
        </w:rPr>
        <w:t>。当卵巢囊肿引起卵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巢重量增加、体积增大时，常导致卵巢囊肿蒂扭转的发生；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囊腺癌也存在大量囊腔，囊腔内充满黏液。子宫附件囊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性占位常导致患者出现下腹疼痛、阴道少量出血和白带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异常等症状，若不及时治疗常引起患者子宫附</w:t>
      </w:r>
      <w:r>
        <w:rPr>
          <w:color w:val="231F20"/>
          <w:spacing w:val="4"/>
        </w:rPr>
        <w:t>件的粘连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以及炎性因子的堆积，影响患者的生育功能，严重者危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及生命安全。因此对于患者子宫附件囊性占位的诊断，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以及其具体病症的明确和治疗，对于患者的生</w:t>
      </w:r>
      <w:r>
        <w:rPr>
          <w:color w:val="231F20"/>
          <w:spacing w:val="4"/>
        </w:rPr>
        <w:t>殖系统健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康十分重要。临床上主要有手术病理检测、临床穿刺、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超声随访观察等检查方式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[6]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2"/>
        </w:rPr>
        <w:t>。诊断的金标准为</w:t>
      </w:r>
      <w:r>
        <w:rPr>
          <w:color w:val="231F20"/>
          <w:spacing w:val="1"/>
        </w:rPr>
        <w:t>病理学检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查，通过有创的检查进行分析得出诊断结果，但该方式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由于诊断结果得出时间较长，不利于疾病的及时治疗，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且有创性对于患者的伤害较大，不利于临床治疗和预</w:t>
      </w:r>
      <w:r>
        <w:rPr>
          <w:color w:val="231F20"/>
          <w:spacing w:val="-5"/>
        </w:rPr>
        <w:t>后。</w:t>
      </w:r>
    </w:p>
    <w:p>
      <w:pPr>
        <w:pStyle w:val="BodyText"/>
        <w:ind w:left="433" w:right="227" w:firstLine="396"/>
        <w:spacing w:before="6" w:line="271" w:lineRule="auto"/>
        <w:rPr/>
      </w:pPr>
      <w:r>
        <w:rPr>
          <w:color w:val="231F20"/>
          <w:spacing w:val="-3"/>
        </w:rPr>
        <w:t>超声检查作为一种安全便捷的方式，具有操作简单、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可重复性和无创等诸多优点，能够为子宫附件的囊性占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位提供诊断依据。采用超声检查，经阴道将探头紧贴宫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颈，可以准确地观察病变部位的具体位置、病变范围、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包块大小和回声类型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5"/>
          <w:position w:val="9"/>
        </w:rPr>
        <w:t>[7-8]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5"/>
        </w:rPr>
        <w:t>。超声检查可以通过各</w:t>
      </w:r>
      <w:r>
        <w:rPr>
          <w:color w:val="231F20"/>
          <w:spacing w:val="4"/>
        </w:rPr>
        <w:t>种疾病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不同特征性超声图像，在无创的前提下，对于患者进行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快速高效的诊断。输卵管积液在超声声像图中，在子宫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旁呈弯曲肠管样，边界清晰，卵巢清晰可见。而子宫内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膜异位囊肿患者的子宫附件常为无回声包块，且因患者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激素变化而出现周期性变化；囊腺癌病灶界限不清，由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于腺上皮细胞出现囊肿，超声声像图下可见内</w:t>
      </w:r>
      <w:r>
        <w:rPr>
          <w:color w:val="231F20"/>
          <w:spacing w:val="4"/>
        </w:rPr>
        <w:t>部回声粗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点；卵巢囊肿蒂扭转包膜完整，表面光滑，</w:t>
      </w:r>
      <w:r>
        <w:rPr>
          <w:color w:val="231F20"/>
          <w:spacing w:val="4"/>
        </w:rPr>
        <w:t>且活动度较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大，在超声下可见腹部囊肿位置存在双层囊壁，通过超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声可与阑尾囊肿、异位妊娠等相鉴别，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9"/>
        </w:rPr>
        <w:t>避免误诊的发生；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且通过彩色多普勒超声，显示病变部位的血流灌注情况，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对于微小的血管和低速血液也具有良好的识别</w:t>
      </w:r>
      <w:r>
        <w:rPr>
          <w:color w:val="231F20"/>
          <w:spacing w:val="4"/>
        </w:rPr>
        <w:t>作用，且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right="82" w:firstLine="3"/>
        <w:spacing w:before="38" w:line="277" w:lineRule="auto"/>
        <w:jc w:val="both"/>
        <w:rPr/>
      </w:pPr>
      <w:r>
        <w:rPr>
          <w:color w:val="231F20"/>
          <w:spacing w:val="4"/>
        </w:rPr>
        <w:t>不受角度的影响，可以帮助早期明确囊性包块的性质，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诊断疾病更为明确和全面，并为之后可能采用的手术治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疗提供手术依据和参考，避免患者在手术中出现血流不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止的情况，保证患者的安全性。</w:t>
      </w:r>
    </w:p>
    <w:p>
      <w:pPr>
        <w:pStyle w:val="BodyText"/>
        <w:ind w:left="17" w:right="70" w:firstLine="396"/>
        <w:spacing w:before="15" w:line="276" w:lineRule="auto"/>
        <w:jc w:val="both"/>
        <w:rPr/>
      </w:pPr>
      <w:r>
        <w:rPr>
          <w:color w:val="231F20"/>
          <w:spacing w:val="5"/>
        </w:rPr>
        <w:t>在本次实验中，采用超声检查，子宫内膜异位囊肿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误诊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例，均被误诊为囊腺瘤；输卵管积液误诊 1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"/>
        </w:rPr>
        <w:t>例，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被误诊为附件炎性包块；囊腺癌误诊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3"/>
        </w:rPr>
        <w:t>例，均被误诊为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子宫内膜异位囊肿；卵巢囊肿蒂扭转误诊 1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例，被误诊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为子宫内膜异位囊肿；附件炎性包块误诊 1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例，被误诊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为卵巢囊肿蒂扭转，但对比超声检查与临床综合诊断结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果对于各疾病的检查结果，并无显著差异（</w:t>
      </w:r>
      <w:r>
        <w:rPr>
          <w:i/>
          <w:iCs/>
          <w:color w:val="231F20"/>
          <w:spacing w:val="-4"/>
        </w:rPr>
        <w:t>P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＞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4"/>
        </w:rPr>
        <w:t>0.05</w:t>
      </w:r>
      <w:r>
        <w:rPr>
          <w:color w:val="231F20"/>
          <w:spacing w:val="-1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提示超声检查对于子宫附件囊性占位的诊断具有较高的检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出率，在临床上具有良好的参考价值。而对于一</w:t>
      </w:r>
      <w:r>
        <w:rPr>
          <w:color w:val="231F20"/>
          <w:spacing w:val="-4"/>
        </w:rPr>
        <w:t>些难以通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过单一的检查技术进行确诊的疾病，可进行结合临床体征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以及其他检测手段的结果进行综合分析，以提高临床对于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子宫附件囊性占位疾病的诊断准确率。在对于包裹性积液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的检查中，超声检查和穿刺检查对于包裹性积液的检出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率并无显著差异（</w:t>
      </w:r>
      <w:r>
        <w:rPr>
          <w:i/>
          <w:iCs/>
          <w:color w:val="231F20"/>
          <w:spacing w:val="2"/>
        </w:rPr>
        <w:t>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＞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0.05</w:t>
      </w:r>
      <w:r>
        <w:rPr>
          <w:color w:val="231F20"/>
          <w:spacing w:val="14"/>
        </w:rPr>
        <w:t>），</w:t>
      </w:r>
      <w:r>
        <w:rPr>
          <w:color w:val="231F20"/>
          <w:spacing w:val="2"/>
        </w:rPr>
        <w:t>且相较于穿刺检查，超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声检查具有更高的安全性，更有利于患者的治疗和</w:t>
      </w:r>
      <w:r>
        <w:rPr>
          <w:color w:val="231F20"/>
          <w:spacing w:val="-5"/>
        </w:rPr>
        <w:t>预后。</w:t>
      </w:r>
    </w:p>
    <w:p>
      <w:pPr>
        <w:pStyle w:val="BodyText"/>
        <w:ind w:left="21" w:firstLine="395"/>
        <w:spacing w:line="278" w:lineRule="auto"/>
        <w:jc w:val="both"/>
        <w:rPr/>
      </w:pPr>
      <w:r>
        <w:rPr>
          <w:color w:val="231F20"/>
          <w:spacing w:val="5"/>
        </w:rPr>
        <w:t>综上所述，在对于子宫附件囊性占位的诊断中，超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声检查可有效地显示相关病变，检出率较高，且超声诊断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具有无创性，安全性较高，值得临床相关诊断借鉴和参</w:t>
      </w:r>
      <w:r>
        <w:rPr>
          <w:color w:val="231F20"/>
          <w:spacing w:val="-9"/>
        </w:rPr>
        <w:t>考。</w:t>
      </w:r>
    </w:p>
    <w:p>
      <w:pPr>
        <w:spacing w:before="289" w:line="264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color w:val="231F20"/>
          <w:spacing w:val="1"/>
          <w:position w:val="1"/>
        </w:rPr>
        <w:t>【参考文献】</w:t>
      </w:r>
    </w:p>
    <w:p>
      <w:pPr>
        <w:ind w:left="357" w:right="69" w:hanging="308"/>
        <w:spacing w:before="43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倪荣凤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经阴道彩色多普勒超声诊断子宫附件囊性占位的临床作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用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[J/CD].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心血管外科杂志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(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电子版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)，2019，8(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3):65.</w:t>
      </w:r>
    </w:p>
    <w:p>
      <w:pPr>
        <w:ind w:left="49"/>
        <w:spacing w:before="116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1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1"/>
        </w:rPr>
        <w:t>周海红，李琴</w:t>
      </w:r>
      <w:r>
        <w:rPr>
          <w:rFonts w:ascii="KaiTi" w:hAnsi="KaiTi" w:eastAsia="KaiTi" w:cs="KaiTi"/>
          <w:sz w:val="16"/>
          <w:szCs w:val="16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1"/>
        </w:rPr>
        <w:t>.超声诊断在子宫附件囊性占位方面的临床作用探讨</w:t>
      </w:r>
      <w:r>
        <w:rPr>
          <w:rFonts w:ascii="KaiTi" w:hAnsi="KaiTi" w:eastAsia="KaiTi" w:cs="KaiTi"/>
          <w:sz w:val="16"/>
          <w:szCs w:val="16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1"/>
        </w:rPr>
        <w:t>[J].</w:t>
      </w:r>
    </w:p>
    <w:p>
      <w:pPr>
        <w:ind w:left="372"/>
        <w:spacing w:before="116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中国现代药物应用，2019，13(1):53-54.</w:t>
      </w:r>
    </w:p>
    <w:p>
      <w:pPr>
        <w:ind w:left="49"/>
        <w:spacing w:before="117" w:line="2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3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3"/>
        </w:rPr>
        <w:t>曹建林</w:t>
      </w:r>
      <w:r>
        <w:rPr>
          <w:rFonts w:ascii="KaiTi" w:hAnsi="KaiTi" w:eastAsia="KaiTi" w:cs="KaiTi"/>
          <w:sz w:val="16"/>
          <w:szCs w:val="16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3"/>
        </w:rPr>
        <w:t>经阴道彩色多普勒超声诊断子宫附件囊性占位的临床作用</w:t>
      </w:r>
      <w:r>
        <w:rPr>
          <w:rFonts w:ascii="KaiTi" w:hAnsi="KaiTi" w:eastAsia="KaiTi" w:cs="KaiTi"/>
          <w:sz w:val="16"/>
          <w:szCs w:val="16"/>
          <w:color w:val="231F20"/>
          <w:spacing w:val="-1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3"/>
        </w:rPr>
        <w:t>[J].</w:t>
      </w:r>
    </w:p>
    <w:p>
      <w:pPr>
        <w:ind w:left="372"/>
        <w:spacing w:before="114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中国药物与临床，2019，19(10):1616-1617.</w:t>
      </w:r>
    </w:p>
    <w:p>
      <w:pPr>
        <w:ind w:left="358" w:right="71" w:hanging="309"/>
        <w:spacing w:before="116" w:line="313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MAGGIORE</w:t>
      </w:r>
      <w:r>
        <w:rPr>
          <w:rFonts w:ascii="KaiTi" w:hAnsi="KaiTi" w:eastAsia="KaiTi" w:cs="KaiTi"/>
          <w:sz w:val="16"/>
          <w:szCs w:val="16"/>
          <w:color w:val="231F20"/>
          <w:spacing w:val="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U</w:t>
      </w:r>
      <w:r>
        <w:rPr>
          <w:rFonts w:ascii="KaiTi" w:hAnsi="KaiTi" w:eastAsia="KaiTi" w:cs="KaiTi"/>
          <w:sz w:val="16"/>
          <w:szCs w:val="16"/>
          <w:color w:val="231F20"/>
          <w:spacing w:val="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L</w:t>
      </w:r>
      <w:r>
        <w:rPr>
          <w:rFonts w:ascii="KaiTi" w:hAnsi="KaiTi" w:eastAsia="KaiTi" w:cs="KaiTi"/>
          <w:sz w:val="16"/>
          <w:szCs w:val="16"/>
          <w:color w:val="231F20"/>
          <w:spacing w:val="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R,</w:t>
      </w:r>
      <w:r>
        <w:rPr>
          <w:rFonts w:ascii="KaiTi" w:hAnsi="KaiTi" w:eastAsia="KaiTi" w:cs="KaiTi"/>
          <w:sz w:val="16"/>
          <w:szCs w:val="16"/>
          <w:color w:val="231F20"/>
          <w:spacing w:val="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FERRERO</w:t>
      </w:r>
      <w:r>
        <w:rPr>
          <w:rFonts w:ascii="KaiTi" w:hAnsi="KaiTi" w:eastAsia="KaiTi" w:cs="KaiTi"/>
          <w:sz w:val="16"/>
          <w:szCs w:val="16"/>
          <w:color w:val="231F20"/>
          <w:spacing w:val="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S,</w:t>
      </w:r>
      <w:r>
        <w:rPr>
          <w:rFonts w:ascii="KaiTi" w:hAnsi="KaiTi" w:eastAsia="KaiTi" w:cs="KaiTi"/>
          <w:sz w:val="16"/>
          <w:szCs w:val="16"/>
          <w:color w:val="231F20"/>
          <w:spacing w:val="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CANDIANI</w:t>
      </w:r>
      <w:r>
        <w:rPr>
          <w:rFonts w:ascii="KaiTi" w:hAnsi="KaiTi" w:eastAsia="KaiTi" w:cs="KaiTi"/>
          <w:sz w:val="16"/>
          <w:szCs w:val="16"/>
          <w:color w:val="231F20"/>
          <w:spacing w:val="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M,</w:t>
      </w:r>
      <w:r>
        <w:rPr>
          <w:rFonts w:ascii="KaiTi" w:hAnsi="KaiTi" w:eastAsia="KaiTi" w:cs="KaiTi"/>
          <w:sz w:val="16"/>
          <w:szCs w:val="16"/>
          <w:color w:val="231F20"/>
          <w:spacing w:val="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et</w:t>
      </w:r>
      <w:r>
        <w:rPr>
          <w:rFonts w:ascii="KaiTi" w:hAnsi="KaiTi" w:eastAsia="KaiTi" w:cs="KaiTi"/>
          <w:sz w:val="16"/>
          <w:szCs w:val="16"/>
          <w:color w:val="231F20"/>
          <w:spacing w:val="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al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Bladder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endometriosis: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a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systematic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review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of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pathogenes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is,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diagnosis,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treatment</w:t>
      </w:r>
      <w:r>
        <w:rPr>
          <w:rFonts w:ascii="KaiTi" w:hAnsi="KaiTi" w:eastAsia="KaiTi" w:cs="KaiTi"/>
          <w:sz w:val="16"/>
          <w:szCs w:val="16"/>
          <w:color w:val="231F20"/>
          <w:spacing w:val="15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5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impact</w:t>
      </w:r>
      <w:r>
        <w:rPr>
          <w:rFonts w:ascii="KaiTi" w:hAnsi="KaiTi" w:eastAsia="KaiTi" w:cs="KaiTi"/>
          <w:sz w:val="16"/>
          <w:szCs w:val="16"/>
          <w:color w:val="231F20"/>
          <w:spacing w:val="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on</w:t>
      </w:r>
      <w:r>
        <w:rPr>
          <w:rFonts w:ascii="KaiTi" w:hAnsi="KaiTi" w:eastAsia="KaiTi" w:cs="KaiTi"/>
          <w:sz w:val="16"/>
          <w:szCs w:val="16"/>
          <w:color w:val="231F20"/>
          <w:spacing w:val="4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fertility</w:t>
      </w:r>
      <w:r>
        <w:rPr>
          <w:rFonts w:ascii="KaiTi" w:hAnsi="KaiTi" w:eastAsia="KaiTi" w:cs="KaiTi"/>
          <w:sz w:val="16"/>
          <w:szCs w:val="16"/>
          <w:color w:val="231F20"/>
          <w:spacing w:val="15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and</w:t>
      </w:r>
      <w:r>
        <w:rPr>
          <w:rFonts w:ascii="KaiTi" w:hAnsi="KaiTi" w:eastAsia="KaiTi" w:cs="KaiTi"/>
          <w:sz w:val="16"/>
          <w:szCs w:val="16"/>
          <w:color w:val="231F20"/>
          <w:spacing w:val="4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risk</w:t>
      </w:r>
      <w:r>
        <w:rPr>
          <w:rFonts w:ascii="KaiTi" w:hAnsi="KaiTi" w:eastAsia="KaiTi" w:cs="KaiTi"/>
          <w:sz w:val="16"/>
          <w:szCs w:val="16"/>
          <w:color w:val="231F20"/>
          <w:spacing w:val="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of</w:t>
      </w:r>
      <w:r>
        <w:rPr>
          <w:rFonts w:ascii="KaiTi" w:hAnsi="KaiTi" w:eastAsia="KaiTi" w:cs="KaiTi"/>
          <w:sz w:val="16"/>
          <w:szCs w:val="16"/>
          <w:color w:val="231F20"/>
          <w:spacing w:val="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malignant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transformation</w:t>
      </w:r>
      <w:r>
        <w:rPr>
          <w:rFonts w:ascii="KaiTi" w:hAnsi="KaiTi" w:eastAsia="KaiTi" w:cs="KaiTi"/>
          <w:sz w:val="16"/>
          <w:szCs w:val="16"/>
          <w:color w:val="231F20"/>
          <w:spacing w:val="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Eur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Urol,2017,71(5):790-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807.</w:t>
      </w:r>
    </w:p>
    <w:p>
      <w:pPr>
        <w:ind w:left="357" w:right="71" w:hanging="308"/>
        <w:spacing w:before="115" w:line="313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MOISEENKO</w:t>
      </w:r>
      <w:r>
        <w:rPr>
          <w:rFonts w:ascii="KaiTi" w:hAnsi="KaiTi" w:eastAsia="KaiTi" w:cs="KaiTi"/>
          <w:sz w:val="16"/>
          <w:szCs w:val="16"/>
          <w:color w:val="231F20"/>
          <w:spacing w:val="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T,</w:t>
      </w:r>
      <w:r>
        <w:rPr>
          <w:rFonts w:ascii="KaiTi" w:hAnsi="KaiTi" w:eastAsia="KaiTi" w:cs="KaiTi"/>
          <w:sz w:val="16"/>
          <w:szCs w:val="16"/>
          <w:color w:val="231F20"/>
          <w:spacing w:val="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KOZLOVA</w:t>
      </w:r>
      <w:r>
        <w:rPr>
          <w:rFonts w:ascii="KaiTi" w:hAnsi="KaiTi" w:eastAsia="KaiTi" w:cs="KaiTi"/>
          <w:sz w:val="16"/>
          <w:szCs w:val="16"/>
          <w:color w:val="231F20"/>
          <w:spacing w:val="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L,</w:t>
      </w:r>
      <w:r>
        <w:rPr>
          <w:rFonts w:ascii="KaiTi" w:hAnsi="KaiTi" w:eastAsia="KaiTi" w:cs="KaiTi"/>
          <w:sz w:val="16"/>
          <w:szCs w:val="16"/>
          <w:color w:val="231F20"/>
          <w:spacing w:val="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KIT</w:t>
      </w:r>
      <w:r>
        <w:rPr>
          <w:rFonts w:ascii="KaiTi" w:hAnsi="KaiTi" w:eastAsia="KaiTi" w:cs="KaiTi"/>
          <w:sz w:val="16"/>
          <w:szCs w:val="16"/>
          <w:color w:val="231F20"/>
          <w:spacing w:val="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O,</w:t>
      </w:r>
      <w:r>
        <w:rPr>
          <w:rFonts w:ascii="KaiTi" w:hAnsi="KaiTi" w:eastAsia="KaiTi" w:cs="KaiTi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et</w:t>
      </w:r>
      <w:r>
        <w:rPr>
          <w:rFonts w:ascii="KaiTi" w:hAnsi="KaiTi" w:eastAsia="KaiTi" w:cs="KaiTi"/>
          <w:sz w:val="16"/>
          <w:szCs w:val="16"/>
          <w:color w:val="231F20"/>
          <w:spacing w:val="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al.</w:t>
      </w:r>
      <w:r>
        <w:rPr>
          <w:rFonts w:ascii="KaiTi" w:hAnsi="KaiTi" w:eastAsia="KaiTi" w:cs="KaiTi"/>
          <w:sz w:val="16"/>
          <w:szCs w:val="16"/>
          <w:color w:val="231F20"/>
          <w:spacing w:val="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EP928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Kallikrein</w:t>
      </w:r>
      <w:r>
        <w:rPr>
          <w:rFonts w:ascii="KaiTi" w:hAnsi="KaiTi" w:eastAsia="KaiTi" w:cs="KaiTi"/>
          <w:sz w:val="16"/>
          <w:szCs w:val="16"/>
          <w:color w:val="231F20"/>
          <w:spacing w:val="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and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plasmin</w:t>
      </w:r>
      <w:r>
        <w:rPr>
          <w:rFonts w:ascii="KaiTi" w:hAnsi="KaiTi" w:eastAsia="KaiTi" w:cs="KaiTi"/>
          <w:sz w:val="16"/>
          <w:szCs w:val="16"/>
          <w:color w:val="231F20"/>
          <w:spacing w:val="5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in</w:t>
      </w:r>
      <w:r>
        <w:rPr>
          <w:rFonts w:ascii="KaiTi" w:hAnsi="KaiTi" w:eastAsia="KaiTi" w:cs="KaiTi"/>
          <w:sz w:val="16"/>
          <w:szCs w:val="16"/>
          <w:color w:val="231F20"/>
          <w:spacing w:val="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ascitic</w:t>
      </w:r>
      <w:r>
        <w:rPr>
          <w:rFonts w:ascii="KaiTi" w:hAnsi="KaiTi" w:eastAsia="KaiTi" w:cs="KaiTi"/>
          <w:sz w:val="16"/>
          <w:szCs w:val="16"/>
          <w:color w:val="231F20"/>
          <w:spacing w:val="4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fluid</w:t>
      </w:r>
      <w:r>
        <w:rPr>
          <w:rFonts w:ascii="KaiTi" w:hAnsi="KaiTi" w:eastAsia="KaiTi" w:cs="KaiTi"/>
          <w:sz w:val="16"/>
          <w:szCs w:val="16"/>
          <w:color w:val="231F20"/>
          <w:spacing w:val="4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require</w:t>
      </w:r>
      <w:r>
        <w:rPr>
          <w:rFonts w:ascii="KaiTi" w:hAnsi="KaiTi" w:eastAsia="KaiTi" w:cs="KaiTi"/>
          <w:sz w:val="16"/>
          <w:szCs w:val="16"/>
          <w:color w:val="231F20"/>
          <w:spacing w:val="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exogenous</w:t>
      </w:r>
      <w:r>
        <w:rPr>
          <w:rFonts w:ascii="KaiTi" w:hAnsi="KaiTi" w:eastAsia="KaiTi" w:cs="KaiTi"/>
          <w:sz w:val="16"/>
          <w:szCs w:val="16"/>
          <w:color w:val="231F20"/>
          <w:spacing w:val="5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inhibitors</w:t>
      </w:r>
      <w:r>
        <w:rPr>
          <w:rFonts w:ascii="KaiTi" w:hAnsi="KaiTi" w:eastAsia="KaiTi" w:cs="KaiTi"/>
          <w:sz w:val="16"/>
          <w:szCs w:val="16"/>
          <w:color w:val="231F20"/>
          <w:spacing w:val="5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in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ovarian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cancer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and</w:t>
      </w:r>
      <w:r>
        <w:rPr>
          <w:rFonts w:ascii="KaiTi" w:hAnsi="KaiTi" w:eastAsia="KaiTi" w:cs="KaiTi"/>
          <w:sz w:val="16"/>
          <w:szCs w:val="16"/>
          <w:color w:val="231F20"/>
          <w:spacing w:val="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tuberculosis</w:t>
      </w:r>
      <w:r>
        <w:rPr>
          <w:rFonts w:ascii="KaiTi" w:hAnsi="KaiTi" w:eastAsia="KaiTi" w:cs="KaiTi"/>
          <w:sz w:val="16"/>
          <w:szCs w:val="16"/>
          <w:color w:val="231F20"/>
          <w:spacing w:val="1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of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uterine</w:t>
      </w:r>
      <w:r>
        <w:rPr>
          <w:rFonts w:ascii="KaiTi" w:hAnsi="KaiTi" w:eastAsia="KaiTi" w:cs="KaiTi"/>
          <w:sz w:val="16"/>
          <w:szCs w:val="16"/>
          <w:color w:val="231F20"/>
          <w:spacing w:val="1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ap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pendages</w:t>
      </w:r>
      <w:r>
        <w:rPr>
          <w:rFonts w:ascii="KaiTi" w:hAnsi="KaiTi" w:eastAsia="KaiTi" w:cs="KaiTi"/>
          <w:sz w:val="16"/>
          <w:szCs w:val="16"/>
          <w:color w:val="231F20"/>
          <w:spacing w:val="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[C]//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ePoster.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BMJ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Publishing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Group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Ltd,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2019: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,29(S4):127-134</w:t>
      </w:r>
    </w:p>
    <w:p>
      <w:pPr>
        <w:ind w:left="360" w:right="70" w:hanging="311"/>
        <w:spacing w:before="115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丁翊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超声诊断在子宫附件囊性占位方面的临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床价值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检验医学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与临床，2015，12(9):1292-1293.</w:t>
      </w:r>
    </w:p>
    <w:p>
      <w:pPr>
        <w:ind w:left="352" w:right="70" w:hanging="303"/>
        <w:spacing w:before="116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成英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经阴道超声在附件区囊性占位诊断方面的临床价值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中外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女性健康研究，2016(20):129，1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32.</w:t>
      </w:r>
    </w:p>
    <w:p>
      <w:pPr>
        <w:ind w:left="355" w:right="70" w:hanging="306"/>
        <w:spacing w:before="116" w:line="313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5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ARTYMUK</w:t>
      </w:r>
      <w:r>
        <w:rPr>
          <w:rFonts w:ascii="KaiTi" w:hAnsi="KaiTi" w:eastAsia="KaiTi" w:cs="KaiTi"/>
          <w:sz w:val="16"/>
          <w:szCs w:val="16"/>
          <w:color w:val="231F20"/>
          <w:spacing w:val="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N,YELGINA</w:t>
      </w:r>
      <w:r>
        <w:rPr>
          <w:rFonts w:ascii="KaiTi" w:hAnsi="KaiTi" w:eastAsia="KaiTi" w:cs="KaiTi"/>
          <w:sz w:val="16"/>
          <w:szCs w:val="16"/>
          <w:color w:val="231F20"/>
          <w:spacing w:val="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S</w:t>
      </w:r>
      <w:r>
        <w:rPr>
          <w:rFonts w:ascii="KaiTi" w:hAnsi="KaiTi" w:eastAsia="KaiTi" w:cs="KaiTi"/>
          <w:sz w:val="16"/>
          <w:szCs w:val="16"/>
          <w:color w:val="231F20"/>
          <w:spacing w:val="4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I,NIKULINA</w:t>
      </w:r>
      <w:r>
        <w:rPr>
          <w:rFonts w:ascii="KaiTi" w:hAnsi="KaiTi" w:eastAsia="KaiTi" w:cs="KaiTi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E.</w:t>
      </w:r>
      <w:r>
        <w:rPr>
          <w:rFonts w:ascii="KaiTi" w:hAnsi="KaiTi" w:eastAsia="KaiTi" w:cs="KaiTi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Basic</w:t>
      </w:r>
      <w:r>
        <w:rPr>
          <w:rFonts w:ascii="KaiTi" w:hAnsi="KaiTi" w:eastAsia="KaiTi" w:cs="KaiTi"/>
          <w:sz w:val="16"/>
          <w:szCs w:val="16"/>
          <w:color w:val="231F20"/>
          <w:spacing w:val="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pituitary-ovarian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hormones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and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ultrasound</w:t>
      </w:r>
      <w:r>
        <w:rPr>
          <w:rFonts w:ascii="KaiTi" w:hAnsi="KaiTi" w:eastAsia="KaiTi" w:cs="KaiTi"/>
          <w:sz w:val="16"/>
          <w:szCs w:val="16"/>
          <w:color w:val="231F20"/>
          <w:spacing w:val="1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para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meters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of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uterine</w:t>
      </w:r>
      <w:r>
        <w:rPr>
          <w:rFonts w:ascii="KaiTi" w:hAnsi="KaiTi" w:eastAsia="KaiTi" w:cs="KaiTi"/>
          <w:sz w:val="16"/>
          <w:szCs w:val="16"/>
          <w:color w:val="231F20"/>
          <w:spacing w:val="1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appendages</w:t>
      </w:r>
      <w:r>
        <w:rPr>
          <w:rFonts w:ascii="KaiTi" w:hAnsi="KaiTi" w:eastAsia="KaiTi" w:cs="KaiTi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in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full-term</w:t>
      </w:r>
      <w:r>
        <w:rPr>
          <w:rFonts w:ascii="KaiTi" w:hAnsi="KaiTi" w:eastAsia="KaiTi" w:cs="KaiTi"/>
          <w:sz w:val="16"/>
          <w:szCs w:val="16"/>
          <w:color w:val="231F20"/>
          <w:spacing w:val="5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and</w:t>
      </w:r>
      <w:r>
        <w:rPr>
          <w:rFonts w:ascii="KaiTi" w:hAnsi="KaiTi" w:eastAsia="KaiTi" w:cs="KaiTi"/>
          <w:sz w:val="16"/>
          <w:szCs w:val="16"/>
          <w:color w:val="231F20"/>
          <w:spacing w:val="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preterm</w:t>
      </w:r>
      <w:r>
        <w:rPr>
          <w:rFonts w:ascii="KaiTi" w:hAnsi="KaiTi" w:eastAsia="KaiTi" w:cs="KaiTi"/>
          <w:sz w:val="16"/>
          <w:szCs w:val="16"/>
          <w:color w:val="231F20"/>
          <w:spacing w:val="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neonate</w:t>
      </w:r>
      <w:r>
        <w:rPr>
          <w:rFonts w:ascii="KaiTi" w:hAnsi="KaiTi" w:eastAsia="KaiTi" w:cs="KaiTi"/>
          <w:sz w:val="16"/>
          <w:szCs w:val="16"/>
          <w:color w:val="231F20"/>
          <w:spacing w:val="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girls[J].</w:t>
      </w:r>
      <w:r>
        <w:rPr>
          <w:rFonts w:ascii="KaiTi" w:hAnsi="KaiTi" w:eastAsia="KaiTi" w:cs="KaiTi"/>
          <w:sz w:val="16"/>
          <w:szCs w:val="16"/>
          <w:color w:val="231F20"/>
          <w:spacing w:val="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Hormone</w:t>
      </w:r>
      <w:r>
        <w:rPr>
          <w:rFonts w:ascii="KaiTi" w:hAnsi="KaiTi" w:eastAsia="KaiTi" w:cs="KaiTi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Molecular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Biology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and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Clinical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Investigation,2018,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34(2):28-36.</w:t>
      </w:r>
    </w:p>
    <w:sectPr>
      <w:type w:val="continuous"/>
      <w:pgSz w:w="11906" w:h="16158"/>
      <w:pgMar w:top="1046" w:right="779" w:bottom="698" w:left="424" w:header="618" w:footer="316" w:gutter="0"/>
      <w:cols w:equalWidth="0" w:num="2">
        <w:col w:w="5590" w:space="100"/>
        <w:col w:w="501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19" w:lineRule="auto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0"/>
        <w:position w:val="-4"/>
      </w:rPr>
      <w:t>中国</w:t>
    </w:r>
    <w:r>
      <w:rPr>
        <w:rFonts w:ascii="Times New Roman" w:hAnsi="Times New Roman" w:eastAsia="Times New Roman" w:cs="Times New Roman"/>
        <w:sz w:val="26"/>
        <w:szCs w:val="26"/>
        <w:color w:val="231F20"/>
        <w:spacing w:val="10"/>
        <w:position w:val="2"/>
      </w:rPr>
      <w:t>152</w:t>
    </w:r>
    <w:r>
      <w:rPr>
        <w:rFonts w:ascii="Times New Roman" w:hAnsi="Times New Roman" w:eastAsia="Times New Roman" w:cs="Times New Roman"/>
        <w:sz w:val="26"/>
        <w:szCs w:val="26"/>
        <w:color w:val="231F20"/>
        <w:spacing w:val="8"/>
        <w:position w:val="2"/>
      </w:rPr>
      <w:t xml:space="preserve">      </w:t>
    </w:r>
    <w:r>
      <w:rPr>
        <w:rFonts w:ascii="Arial" w:hAnsi="Arial" w:eastAsia="Arial" w:cs="Arial"/>
        <w:sz w:val="22"/>
        <w:szCs w:val="22"/>
        <w:color w:val="999999"/>
        <w:position w:val="-6"/>
      </w:rPr>
      <w:t>https</w:t>
    </w:r>
    <w:r>
      <w:rPr>
        <w:rFonts w:ascii="Arial" w:hAnsi="Arial" w:eastAsia="Arial" w:cs="Arial"/>
        <w:sz w:val="22"/>
        <w:szCs w:val="22"/>
        <w:color w:val="999999"/>
        <w:spacing w:val="10"/>
        <w:position w:val="-6"/>
      </w:rPr>
      <w:t>:</w:t>
    </w:r>
    <w:r>
      <w:rPr>
        <w:sz w:val="22"/>
        <w:szCs w:val="22"/>
        <w:position w:val="-6"/>
      </w:rPr>
      <w:drawing>
        <wp:inline distT="0" distB="0" distL="0" distR="0">
          <wp:extent cx="45084" cy="110984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5084" cy="1109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position w:val="-6"/>
      </w:rPr>
      <w:drawing>
        <wp:inline distT="0" distB="0" distL="0" distR="0">
          <wp:extent cx="45084" cy="110984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5084" cy="1109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2"/>
        <w:szCs w:val="22"/>
        <w:color w:val="999999"/>
        <w:position w:val="-4"/>
      </w:rPr>
      <w:t>Www</w:t>
    </w:r>
    <w:r>
      <w:rPr>
        <w:rFonts w:ascii="Arial" w:hAnsi="Arial" w:eastAsia="Arial" w:cs="Arial"/>
        <w:sz w:val="22"/>
        <w:szCs w:val="22"/>
        <w:color w:val="999999"/>
        <w:spacing w:val="10"/>
        <w:position w:val="-4"/>
      </w:rPr>
      <w:t>.</w:t>
    </w:r>
    <w:r>
      <w:rPr>
        <w:rFonts w:ascii="Arial" w:hAnsi="Arial" w:eastAsia="Arial" w:cs="Arial"/>
        <w:sz w:val="22"/>
        <w:szCs w:val="22"/>
        <w:color w:val="999999"/>
      </w:rPr>
      <w:t>cnk</w:t>
    </w:r>
    <w:r>
      <w:rPr>
        <w:rFonts w:ascii="Arial" w:hAnsi="Arial" w:eastAsia="Arial" w:cs="Arial"/>
        <w:sz w:val="22"/>
        <w:szCs w:val="22"/>
        <w:color w:val="999999"/>
        <w:spacing w:val="10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inet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5"/>
      <w:spacing w:before="46" w:line="203" w:lineRule="auto"/>
      <w:tabs>
        <w:tab w:val="left" w:pos="4732"/>
      </w:tabs>
      <w:rPr>
        <w:rFonts w:ascii="Microsoft YaHei" w:hAnsi="Microsoft YaHei" w:eastAsia="Microsoft YaHei" w:cs="Microsoft YaHei"/>
        <w:sz w:val="21"/>
        <w:szCs w:val="21"/>
      </w:rPr>
    </w:pPr>
    <w:r>
      <w:pict>
        <v:shape id="_x0000_s2" style="position:absolute;margin-left:494.504pt;margin-top:33.7657pt;mso-position-vertical-relative:page;mso-position-horizontal-relative:page;width:58.55pt;height:14.8pt;z-index:-251658240;" o:allowincell="f" filled="false" strokecolor="#231F20" strokeweight="0.50pt" coordsize="1170,296" coordorigin="0,0" path="m90,5c43,5,5,43,5,90l5,205c5,252,43,290,90,290l1080,290c1126,290,1165,252,1165,205l1165,90c1165,43,1126,5,1080,5l90,5x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u w:val="single" w:color="auto"/>
        <w:color w:val="231F20"/>
      </w:rPr>
      <w:tab/>
    </w:r>
    <w:r>
      <w:rPr>
        <w:rFonts w:ascii="KaiTi" w:hAnsi="KaiTi" w:eastAsia="KaiTi" w:cs="KaiTi"/>
        <w:sz w:val="21"/>
        <w:szCs w:val="21"/>
        <w:u w:val="single" w:color="auto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u w:val="single" w:color="auto"/>
        <w:color w:val="231F20"/>
        <w:spacing w:val="58"/>
      </w:rPr>
      <w:t xml:space="preserve"> </w:t>
    </w:r>
    <w:r>
      <w:rPr>
        <w:rFonts w:ascii="KaiTi" w:hAnsi="KaiTi" w:eastAsia="KaiTi" w:cs="KaiTi"/>
        <w:sz w:val="21"/>
        <w:szCs w:val="21"/>
        <w:u w:val="single" w:color="auto"/>
        <w:color w:val="231F20"/>
        <w:spacing w:val="12"/>
      </w:rPr>
      <w:t>2021年6月</w:t>
    </w:r>
    <w:r>
      <w:rPr>
        <w:rFonts w:ascii="KaiTi" w:hAnsi="KaiTi" w:eastAsia="KaiTi" w:cs="KaiTi"/>
        <w:sz w:val="21"/>
        <w:szCs w:val="21"/>
        <w:u w:val="single" w:color="auto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u w:val="single" w:color="auto"/>
        <w:color w:val="231F20"/>
        <w:spacing w:val="12"/>
      </w:rPr>
      <w:t>第5卷第11期</w:t>
    </w:r>
    <w:r>
      <w:rPr>
        <w:rFonts w:ascii="KaiTi" w:hAnsi="KaiTi" w:eastAsia="KaiTi" w:cs="KaiTi"/>
        <w:sz w:val="21"/>
        <w:szCs w:val="21"/>
        <w:color w:val="231F20"/>
        <w:spacing w:val="31"/>
      </w:rPr>
      <w:t xml:space="preserve">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2"/>
        <w:position w:val="-1"/>
      </w:rPr>
      <w:t>医学影像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68"/>
      <w:spacing w:before="87" w:line="214" w:lineRule="auto"/>
      <w:rPr>
        <w:rFonts w:ascii="KaiTi" w:hAnsi="KaiTi" w:eastAsia="KaiTi" w:cs="KaiTi"/>
        <w:sz w:val="21"/>
        <w:szCs w:val="21"/>
      </w:rPr>
    </w:pPr>
    <w:r>
      <w:pict>
        <v:shape id="_x0000_s4" style="position:absolute;margin-left:104.27pt;margin-top:48.7803pt;mso-position-vertical-relative:page;mso-position-horizontal-relative:page;width:451pt;height:0.75pt;z-index:251660288;" o:allowincell="f" filled="false" strokecolor="#231F20" strokeweight="0.71pt" coordsize="9020,15" coordorigin="0,0" path="m0,7l9019,7e">
          <v:stroke joinstyle="miter" miterlimit="4"/>
        </v:shape>
      </w:pict>
    </w:r>
    <w:r>
      <w:pict>
        <v:group id="_x0000_s6" style="position:absolute;margin-left:42.2696pt;margin-top:33.7657pt;mso-position-vertical-relative:page;mso-position-horizontal-relative:page;width:57.1pt;height:14.8pt;z-index:251659264;" o:allowincell="f" filled="false" stroked="false" coordsize="1141,296" coordorigin="0,0">
          <v:shape id="_x0000_s8" style="position:absolute;left:-20;top:-20;width:1181;height:335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31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1131"/>
                  </w:tblGrid>
                  <w:tr>
                    <w:trPr>
                      <w:trHeight w:val="275" w:hRule="atLeast"/>
                    </w:trPr>
                    <w:tc>
                      <w:tcPr>
                        <w:shd w:val="clear" w:fill="FFFFFF"/>
                        <w:tcW w:w="1131" w:type="dxa"/>
                        <w:vAlign w:val="top"/>
                      </w:tcPr>
                      <w:p>
                        <w:pPr>
                          <w:ind w:left="150"/>
                          <w:spacing w:before="3" w:line="174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31F20"/>
                            <w:spacing w:val="-3"/>
                          </w:rPr>
                          <w:t>医学影像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v:group>
      </w:pict>
    </w:r>
    <w:r>
      <w:rPr>
        <w:rFonts w:ascii="KaiTi" w:hAnsi="KaiTi" w:eastAsia="KaiTi" w:cs="KaiTi"/>
        <w:sz w:val="21"/>
        <w:szCs w:val="21"/>
        <w:color w:val="231F20"/>
        <w:spacing w:val="14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71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4"/>
      </w:rPr>
      <w:t>2021年6月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4"/>
      </w:rPr>
      <w:t>第5卷第11期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2024-10-14T08:58:06Z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2025-10-28T21:33:31</vt:filetime>
  </property>
</Properties>
</file>