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162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6757744</wp:posOffset>
            </wp:positionH>
            <wp:positionV relativeFrom="paragraph">
              <wp:posOffset>-253985</wp:posOffset>
            </wp:positionV>
            <wp:extent cx="6350" cy="720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8793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620" w:right="859" w:hanging="5"/>
        <w:spacing w:before="236" w:line="171" w:lineRule="auto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经腹部超声联合阴道超声在妇产科急腹症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5"/>
        </w:rPr>
        <w:t>诊断中的应用探析</w:t>
      </w:r>
    </w:p>
    <w:p>
      <w:pPr>
        <w:pStyle w:val="BodyText"/>
        <w:ind w:left="617"/>
        <w:spacing w:line="19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王雪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阜新市第二人民医院（阜新市妇产医院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辽宁 阜新  </w:t>
      </w:r>
      <w:r>
        <w:rPr>
          <w:sz w:val="15"/>
          <w:szCs w:val="15"/>
          <w:spacing w:val="5"/>
        </w:rPr>
        <w:t>1230</w:t>
      </w:r>
      <w:r>
        <w:rPr>
          <w:sz w:val="15"/>
          <w:szCs w:val="15"/>
          <w:spacing w:val="4"/>
        </w:rPr>
        <w:t>00</w:t>
      </w:r>
      <w:r>
        <w:rPr>
          <w:sz w:val="15"/>
          <w:szCs w:val="15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）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45" w:line="215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文章编号：</w:t>
      </w:r>
      <w:r>
        <w:rPr>
          <w:sz w:val="14"/>
          <w:szCs w:val="14"/>
          <w:spacing w:val="-2"/>
        </w:rPr>
        <w:t>1006-6586(2022)02-0089-03             </w:t>
      </w:r>
      <w:r>
        <w:rPr>
          <w:rFonts w:ascii="SimSun" w:hAnsi="SimSun" w:eastAsia="SimSun" w:cs="SimSun"/>
          <w:sz w:val="14"/>
          <w:szCs w:val="14"/>
          <w:spacing w:val="-2"/>
        </w:rPr>
        <w:t>中图分类号：</w:t>
      </w:r>
      <w:r>
        <w:rPr>
          <w:sz w:val="14"/>
          <w:szCs w:val="14"/>
          <w:spacing w:val="-2"/>
        </w:rPr>
        <w:t>R445.1            </w:t>
      </w:r>
      <w:r>
        <w:rPr>
          <w:rFonts w:ascii="SimSun" w:hAnsi="SimSun" w:eastAsia="SimSun" w:cs="SimSun"/>
          <w:sz w:val="14"/>
          <w:szCs w:val="14"/>
          <w:spacing w:val="-2"/>
        </w:rPr>
        <w:t>文献标识</w:t>
      </w:r>
      <w:r>
        <w:rPr>
          <w:rFonts w:ascii="SimSun" w:hAnsi="SimSun" w:eastAsia="SimSun" w:cs="SimSun"/>
          <w:sz w:val="14"/>
          <w:szCs w:val="14"/>
          <w:spacing w:val="-3"/>
        </w:rPr>
        <w:t>码：</w:t>
      </w:r>
      <w:r>
        <w:rPr>
          <w:sz w:val="14"/>
          <w:szCs w:val="14"/>
          <w:spacing w:val="-3"/>
        </w:rPr>
        <w:t>A</w:t>
      </w:r>
    </w:p>
    <w:p>
      <w:pPr>
        <w:ind w:firstLine="612"/>
        <w:spacing w:before="34" w:line="60" w:lineRule="exact"/>
        <w:rPr/>
      </w:pPr>
      <w:r>
        <w:rPr>
          <w:position w:val="-1"/>
        </w:rPr>
        <w:drawing>
          <wp:inline distT="0" distB="0" distL="0" distR="0">
            <wp:extent cx="6912005" cy="381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200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612"/>
        <w:spacing w:before="110" w:line="4365" w:lineRule="exact"/>
        <w:rPr/>
      </w:pPr>
      <w:r>
        <w:rPr>
          <w:position w:val="-87"/>
        </w:rPr>
        <w:pict>
          <v:shape id="_x0000_s4" style="mso-position-vertical-relative:line;mso-position-horizontal-relative:char;width:502pt;height:218.3pt;" fillcolor="#EDF0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16" w:right="56" w:hanging="933"/>
                    <w:spacing w:before="55" w:line="267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>内容提要：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</w:rPr>
                    <w:t>目的：将经腹部超声联合阴道超声检查在妇产科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急腹症诊断中的应用效果进行研究。方法：选取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>2018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年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>6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月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>~2019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年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>6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月在本院进行治疗的妇产科急腹症患者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>86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例，并将其随机进行分组，对照组患者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>43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例，行腹部超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声检查，观察组患者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>43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例，行腹部超声联合阴道超声检查，比较两组患者的漏诊率、误诊率。结果：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观察组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患者漏诊率、误诊率明显更低（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）。观察组的检出率达到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>97.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67%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，对照组的检出率达到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86.05%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，差异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较大（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5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）。结论：经腹部超声联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合阴道超声检查临床意义显著，可进一步提升总体诊断准确率，为后续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临床治疗工作奠定丰厚基础。</w:t>
                  </w:r>
                </w:p>
                <w:p>
                  <w:pPr>
                    <w:ind w:left="63"/>
                    <w:spacing w:line="242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>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>键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>词：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妇产科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急腹症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经腹部超声检查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4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阴道超声检查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诊断准确率</w:t>
                  </w:r>
                </w:p>
                <w:p>
                  <w:pPr>
                    <w:ind w:left="62" w:right="295"/>
                    <w:spacing w:before="223" w:line="214" w:lineRule="auto"/>
                    <w:rPr>
                      <w:rFonts w:ascii="Book Antiqua" w:hAnsi="Book Antiqua" w:eastAsia="Book Antiqua" w:cs="Book Antiqua"/>
                      <w:sz w:val="19"/>
                      <w:szCs w:val="19"/>
                    </w:rPr>
                  </w:pP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5"/>
                    </w:rPr>
                    <w:t>Application of Transabdominal Ultrasound Combined with Vaginal U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ltrasound in the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Diagnosis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of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Acute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5"/>
                    </w:rPr>
                    <w:t>Abdomen in Obstetrics and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Gynecology</w:t>
                  </w:r>
                </w:p>
                <w:p>
                  <w:pPr>
                    <w:ind w:left="57"/>
                    <w:spacing w:before="51" w:line="187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3"/>
                    </w:rPr>
                    <w:t>WANG Xue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b/>
                      <w:bCs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Fuxin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Second People’s Hospital (Fuxin Obstetrics and Gynecology Hospital)     (Liaoning Fuxin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123000)</w:t>
                  </w:r>
                </w:p>
                <w:p>
                  <w:pPr>
                    <w:ind w:left="57"/>
                    <w:spacing w:before="169" w:line="19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Abstract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    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Objective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study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application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eﬀect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transabdominal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combined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approach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acute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abdomen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ob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stetrics</w:t>
                  </w:r>
                </w:p>
                <w:p>
                  <w:pPr>
                    <w:ind w:left="1011" w:right="55" w:firstLine="8"/>
                    <w:spacing w:before="48" w:line="268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gynecology.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86 patients with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gynecological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obstetric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acute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abdomen treated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our hospital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June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2018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June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2019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selected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randomly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divided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groups.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43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control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abdominal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43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observation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examined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abdominal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com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bined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missed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misdiagnosis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groups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compared.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5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missed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diagnosi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misdiagnosis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patients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observation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signiﬁcantly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observation group was 97.67%, and the detection rate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control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group was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86.05%, with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 big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diﬀerence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Conclusion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Transabdominal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combined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vaginal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ultrasonography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significan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significance,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which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further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improve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overall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diagnostic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accuracy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lay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solid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foundation for subsequent clinical treatment.</w:t>
                  </w:r>
                </w:p>
                <w:p>
                  <w:pPr>
                    <w:ind w:left="59"/>
                    <w:spacing w:before="20" w:line="19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Key words: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obstetrics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gynecology,   acute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abdomen,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transabdominal ultrasonography,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vaginal ultrasonography,   diagnosti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accuracy</w:t>
                  </w:r>
                </w:p>
              </w:txbxContent>
            </v:textbox>
          </v:shape>
        </w:pict>
      </w:r>
    </w:p>
    <w:p>
      <w:pPr>
        <w:pStyle w:val="BodyText"/>
        <w:ind w:left="672"/>
        <w:spacing w:before="47" w:line="190" w:lineRule="auto"/>
        <w:rPr>
          <w:sz w:val="18"/>
          <w:szCs w:val="18"/>
        </w:rPr>
      </w:pPr>
      <w:r>
        <w:rPr>
          <w:sz w:val="18"/>
          <w:szCs w:val="18"/>
        </w:rPr>
        <w:t>DOI:10.15971/j.cnki.cmdi.2022.02</w:t>
      </w:r>
      <w:r>
        <w:rPr>
          <w:sz w:val="18"/>
          <w:szCs w:val="18"/>
          <w:spacing w:val="-1"/>
        </w:rPr>
        <w:t>.020</w:t>
      </w: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1"/>
          <w:pgSz w:w="11906" w:h="16158"/>
          <w:pgMar w:top="400" w:right="0" w:bottom="0" w:left="407" w:header="0" w:footer="0" w:gutter="0"/>
          <w:cols w:equalWidth="0" w:num="1">
            <w:col w:w="11498" w:space="0"/>
          </w:cols>
        </w:sectPr>
        <w:rPr/>
      </w:pPr>
    </w:p>
    <w:p>
      <w:pPr>
        <w:pStyle w:val="BodyText"/>
        <w:ind w:left="615" w:right="29" w:firstLine="380"/>
        <w:spacing w:before="39" w:line="238" w:lineRule="auto"/>
        <w:tabs>
          <w:tab w:val="left" w:pos="5642"/>
        </w:tabs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妇产科急腹症在临床中较为常见，其主要包括子宫穿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孔、急性盆腔炎、卵巢脓肿等疾病， 该病具有较高的危险性，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且起病急，病情发展迅速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sz w:val="11"/>
          <w:szCs w:val="11"/>
          <w:spacing w:val="1"/>
          <w:position w:val="6"/>
        </w:rPr>
        <w:t>[1-3]</w:t>
      </w:r>
      <w:r>
        <w:rPr>
          <w:sz w:val="11"/>
          <w:szCs w:val="11"/>
          <w:spacing w:val="-6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。妇产科急腹症</w:t>
      </w:r>
      <w:r>
        <w:rPr>
          <w:rFonts w:ascii="Microsoft YaHei" w:hAnsi="Microsoft YaHei" w:eastAsia="Microsoft YaHei" w:cs="Microsoft YaHei"/>
          <w:sz w:val="19"/>
          <w:szCs w:val="19"/>
        </w:rPr>
        <w:t>典型临床表现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为腹部剧烈疼痛，如不及时进行治疗，可严重威胁患者生命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质量。为有效保障妇产科急腹症患者的总体治疗效果，临床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中应给予疑似妇产科急腹症患者科学、准确的诊断方式，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避免因漏诊、误诊而影响患者临床疗效。本文主要将经腹部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超声联合阴道超声检查应用于妇产科急腹症患者的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诊断工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作中，取得较好的效果，现报道如下。</w:t>
      </w:r>
    </w:p>
    <w:p>
      <w:pPr>
        <w:ind w:left="654"/>
        <w:spacing w:before="234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>资料与方法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3"/>
          <w:position w:val="2"/>
        </w:rPr>
        <w:t xml:space="preserve">                    </w:t>
      </w:r>
    </w:p>
    <w:p>
      <w:pPr>
        <w:pStyle w:val="BodyText"/>
        <w:ind w:left="634"/>
        <w:spacing w:before="125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临床资料</w:t>
      </w:r>
    </w:p>
    <w:p>
      <w:pPr>
        <w:pStyle w:val="BodyText"/>
        <w:ind w:left="615" w:right="185" w:firstLine="380"/>
        <w:spacing w:before="81" w:line="22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6" style="position:absolute;margin-left:29.6236pt;margin-top:39.6986pt;mso-position-vertical-relative:text;mso-position-horizontal-relative:text;width:81.4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1606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选择</w:t>
      </w:r>
      <w:r>
        <w:rPr>
          <w:sz w:val="19"/>
          <w:szCs w:val="19"/>
          <w:spacing w:val="2"/>
        </w:rPr>
        <w:t>2018</w:t>
      </w:r>
      <w:r>
        <w:rPr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6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月</w:t>
      </w:r>
      <w:r>
        <w:rPr>
          <w:sz w:val="19"/>
          <w:szCs w:val="19"/>
          <w:spacing w:val="2"/>
        </w:rPr>
        <w:t>~2019</w:t>
      </w:r>
      <w:r>
        <w:rPr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6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月本院收治的</w:t>
      </w:r>
      <w:r>
        <w:rPr>
          <w:sz w:val="19"/>
          <w:szCs w:val="19"/>
          <w:spacing w:val="2"/>
        </w:rPr>
        <w:t>86</w:t>
      </w:r>
      <w:r>
        <w:rPr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例妇产科急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腹症患者进行研究，并将其随机分为对照组与观察组各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43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例。对照组患者平均年龄（</w:t>
      </w:r>
      <w:r>
        <w:rPr>
          <w:sz w:val="19"/>
          <w:szCs w:val="19"/>
          <w:spacing w:val="-4"/>
        </w:rPr>
        <w:t>43.72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±</w:t>
      </w:r>
      <w:r>
        <w:rPr>
          <w:sz w:val="19"/>
          <w:szCs w:val="19"/>
          <w:spacing w:val="-4"/>
        </w:rPr>
        <w:t>12.68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）岁，病情分布：有</w:t>
      </w:r>
    </w:p>
    <w:p>
      <w:pPr>
        <w:pStyle w:val="BodyText"/>
        <w:ind w:left="618"/>
        <w:spacing w:before="37" w:line="24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收稿日期：</w:t>
      </w:r>
      <w:r>
        <w:rPr>
          <w:sz w:val="16"/>
          <w:szCs w:val="16"/>
        </w:rPr>
        <w:t>2019-12-09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82" w:hanging="1"/>
        <w:spacing w:before="38" w:line="22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1"/>
        </w:rPr>
        <w:t>4</w:t>
      </w:r>
      <w:r>
        <w:rPr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例为异位妊娠，有 </w:t>
      </w:r>
      <w:r>
        <w:rPr>
          <w:sz w:val="19"/>
          <w:szCs w:val="19"/>
          <w:spacing w:val="-1"/>
        </w:rPr>
        <w:t>12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例为卵巢黄体囊肿破裂，有</w:t>
      </w:r>
      <w:r>
        <w:rPr>
          <w:sz w:val="19"/>
          <w:szCs w:val="19"/>
          <w:spacing w:val="-1"/>
        </w:rPr>
        <w:t>6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例为卵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巢囊肿蒂扭转，有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6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例为输卵管扭转，有 </w:t>
      </w:r>
      <w:r>
        <w:rPr>
          <w:sz w:val="19"/>
          <w:szCs w:val="19"/>
          <w:spacing w:val="-5"/>
        </w:rPr>
        <w:t>12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例为急性盆腔炎，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4"/>
        </w:rPr>
        <w:t>3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例为子宫穿孔。观察组患者平均年龄（</w:t>
      </w:r>
      <w:r>
        <w:rPr>
          <w:sz w:val="19"/>
          <w:szCs w:val="19"/>
          <w:spacing w:val="-4"/>
        </w:rPr>
        <w:t>43.69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±</w:t>
      </w:r>
      <w:r>
        <w:rPr>
          <w:sz w:val="19"/>
          <w:szCs w:val="19"/>
          <w:spacing w:val="-4"/>
        </w:rPr>
        <w:t>12.67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）岁，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病情分布：急性盆腔炎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27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例、卵巢脓肿 </w:t>
      </w:r>
      <w:r>
        <w:rPr>
          <w:sz w:val="19"/>
          <w:szCs w:val="19"/>
          <w:spacing w:val="-7"/>
        </w:rPr>
        <w:t>10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例、子宫穿孔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7"/>
        </w:rPr>
        <w:t>6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例。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两组患者临床资料均已完善，且未见明显差异（</w:t>
      </w:r>
      <w:r>
        <w:rPr>
          <w:sz w:val="19"/>
          <w:szCs w:val="19"/>
          <w:i/>
          <w:iCs/>
          <w:spacing w:val="-3"/>
        </w:rPr>
        <w:t>P</w:t>
      </w:r>
      <w:r>
        <w:rPr>
          <w:sz w:val="19"/>
          <w:szCs w:val="19"/>
          <w:spacing w:val="-3"/>
        </w:rPr>
        <w:t>&gt;0.05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）。</w:t>
      </w:r>
    </w:p>
    <w:p>
      <w:pPr>
        <w:pStyle w:val="BodyText"/>
        <w:ind w:left="19"/>
        <w:spacing w:before="61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right="790" w:firstLine="380"/>
        <w:spacing w:before="89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对照组患者仅采用经腹部超声检查，检查前叮嘱患者多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饮水，以保持膀胱充盈。采用超声诊断仪（</w:t>
      </w:r>
      <w:r>
        <w:rPr>
          <w:sz w:val="19"/>
          <w:szCs w:val="19"/>
        </w:rPr>
        <w:t>GE</w:t>
      </w:r>
      <w:r>
        <w:rPr>
          <w:sz w:val="19"/>
          <w:szCs w:val="19"/>
          <w:spacing w:val="2"/>
        </w:rPr>
        <w:t>-E8</w:t>
      </w:r>
      <w:r>
        <w:rPr>
          <w:rFonts w:ascii="Microsoft YaHei" w:hAnsi="Microsoft YaHei" w:eastAsia="Microsoft YaHei" w:cs="Microsoft YaHei"/>
          <w:sz w:val="19"/>
          <w:szCs w:val="19"/>
          <w:spacing w:val="-42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引导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患者平躺，使用仰卧体位，将探头频率设为</w:t>
      </w:r>
      <w:r>
        <w:rPr>
          <w:sz w:val="19"/>
          <w:szCs w:val="19"/>
          <w:spacing w:val="2"/>
        </w:rPr>
        <w:t>3.5</w:t>
      </w:r>
      <w:r>
        <w:rPr>
          <w:sz w:val="19"/>
          <w:szCs w:val="19"/>
        </w:rPr>
        <w:t>MHz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，并置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于患者盆腔部位进行横面、纵面、斜面检查， 对其子宫壁回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声情况及腹盆腔内液性暗区情况进行观察，并扫描其宫腔有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无存在孕囊，附件是否存在包块。观察组患者在此基础上，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加用阴道超声检查，将探头频率设为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"/>
        </w:rPr>
        <w:t>6.5</w:t>
      </w:r>
      <w:r>
        <w:rPr>
          <w:sz w:val="19"/>
          <w:szCs w:val="19"/>
        </w:rPr>
        <w:t>MHz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，告知患者排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空膀胱，并取截石位，暴露出会阴部位，清洁探头后，在探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头上涂抹适当的耦合剂，然后将避孕套套在探头上，之后缓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慢置入阴道穹窿处，对患者子宫、卵巢等区域进行多角度扫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1046"/>
        <w:spacing w:before="60" w:line="201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2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2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2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position w:val="1"/>
        </w:rPr>
        <w:t>中国医疗器械信息 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"/>
        </w:rPr>
        <w:t>89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2"/>
        </w:rPr>
        <w:t>.</w:t>
      </w:r>
    </w:p>
    <w:p>
      <w:pPr>
        <w:spacing w:line="201" w:lineRule="exact"/>
        <w:sectPr>
          <w:type w:val="continuous"/>
          <w:pgSz w:w="11906" w:h="16158"/>
          <w:pgMar w:top="400" w:right="0" w:bottom="0" w:left="407" w:header="0" w:footer="0" w:gutter="0"/>
          <w:cols w:equalWidth="0" w:num="2">
            <w:col w:w="5674" w:space="100"/>
            <w:col w:w="5724" w:space="0"/>
          </w:cols>
        </w:sectPr>
        <w:rPr>
          <w:rFonts w:ascii="Georgia" w:hAnsi="Georgia" w:eastAsia="Georgia" w:cs="Georgia"/>
          <w:sz w:val="16"/>
          <w:szCs w:val="16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511"/>
        <w:spacing w:before="103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522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ind w:left="444" w:right="28"/>
        <w:spacing w:before="82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查，并观察其器官回声情况。在检测过程中对探头进行推拉，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旋转，纵行，半环状，横行扫描，了解患者盆腔，子宫，卵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巢的位置，大小以及回声，是否存在宫腔积液，附件包块等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情况。</w:t>
      </w:r>
    </w:p>
    <w:p>
      <w:pPr>
        <w:pStyle w:val="BodyText"/>
        <w:ind w:left="464"/>
        <w:spacing w:before="1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3"/>
        </w:rPr>
        <w:t>1.3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观察指标</w:t>
      </w:r>
    </w:p>
    <w:p>
      <w:pPr>
        <w:ind w:left="829"/>
        <w:spacing w:before="87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观察两组患者误诊率和漏诊率。</w:t>
      </w:r>
    </w:p>
    <w:p>
      <w:pPr>
        <w:pStyle w:val="BodyText"/>
        <w:ind w:left="464"/>
        <w:spacing w:before="88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4"/>
        </w:rPr>
        <w:t>1.4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统计学分析</w:t>
      </w:r>
    </w:p>
    <w:p>
      <w:pPr>
        <w:pStyle w:val="BodyText"/>
        <w:ind w:left="424" w:right="184" w:firstLine="399"/>
        <w:spacing w:before="81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将数据纳入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SPSS</w:t>
      </w:r>
      <w:r>
        <w:rPr>
          <w:sz w:val="19"/>
          <w:szCs w:val="19"/>
          <w:spacing w:val="2"/>
        </w:rPr>
        <w:t>22.0</w:t>
      </w:r>
      <w:r>
        <w:rPr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软件中进行分析，计数资料采用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i/>
          <w:iCs/>
          <w:position w:val="2"/>
        </w:rPr>
        <w:t>χ</w:t>
      </w:r>
      <w:r>
        <w:rPr>
          <w:sz w:val="11"/>
          <w:szCs w:val="11"/>
          <w:position w:val="9"/>
        </w:rPr>
        <w:t>2 </w:t>
      </w:r>
      <w:r>
        <w:rPr>
          <w:rFonts w:ascii="Microsoft YaHei" w:hAnsi="Microsoft YaHei" w:eastAsia="Microsoft YaHei" w:cs="Microsoft YaHei"/>
          <w:sz w:val="19"/>
          <w:szCs w:val="19"/>
        </w:rPr>
        <w:t>检验，并以率（</w:t>
      </w:r>
      <w:r>
        <w:rPr>
          <w:sz w:val="19"/>
          <w:szCs w:val="19"/>
        </w:rPr>
        <w:t>%</w:t>
      </w:r>
      <w:r>
        <w:rPr>
          <w:rFonts w:ascii="Microsoft YaHei" w:hAnsi="Microsoft YaHei" w:eastAsia="Microsoft YaHei" w:cs="Microsoft YaHei"/>
          <w:sz w:val="19"/>
          <w:szCs w:val="19"/>
        </w:rPr>
        <w:t>）表示，</w:t>
      </w:r>
      <w:r>
        <w:rPr>
          <w:sz w:val="19"/>
          <w:szCs w:val="19"/>
          <w:i/>
          <w:iCs/>
        </w:rPr>
        <w:t>P</w:t>
      </w:r>
      <w:r>
        <w:rPr>
          <w:sz w:val="19"/>
          <w:szCs w:val="19"/>
        </w:rPr>
        <w:t>&lt;0.0</w:t>
      </w:r>
      <w:r>
        <w:rPr>
          <w:sz w:val="19"/>
          <w:szCs w:val="19"/>
          <w:spacing w:val="-1"/>
        </w:rPr>
        <w:t>5</w:t>
      </w:r>
      <w:r>
        <w:rPr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为差异显著，有统计学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意义。</w:t>
      </w:r>
    </w:p>
    <w:p>
      <w:pPr>
        <w:ind w:left="463"/>
        <w:spacing w:before="247" w:line="573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group id="_x0000_s10" style="position:absolute;margin-left:22.1197pt;margin-top:37.6709pt;mso-position-vertical-relative:text;mso-position-horizontal-relative:text;width:243.8pt;height:0.5pt;z-index:251660288;" filled="false" stroked="false" coordsize="4876,10" coordorigin="0,0">
            <v:shape id="_x0000_s12" style="position:absolute;left:20;top:0;width:4846;height:10;" filled="false" strokecolor="#00A0E9" strokeweight="0.50pt" coordsize="4846,10" coordorigin="0,0" path="m5,5l4840,5e">
              <v:stroke dashstyle="dash" endcap="round" miterlimit="10"/>
            </v:shape>
            <v:shape id="_x0000_s14" style="position:absolute;left:0;top:0;width:4876;height:10;" filled="false" strokecolor="#00A0E9" strokeweight="0.50pt" coordsize="4876,10" coordorigin="0,0" path="m5,5l5,5m4870,5l4870,5e">
              <v:stroke endcap="round" miterlimit="10"/>
            </v:shape>
          </v:group>
        </w:pict>
      </w:r>
      <w:r>
        <w:rPr>
          <w:rFonts w:ascii="Arial" w:hAnsi="Arial" w:eastAsia="Arial" w:cs="Arial"/>
          <w:sz w:val="48"/>
          <w:szCs w:val="48"/>
          <w:color w:val="00A0E9"/>
          <w:spacing w:val="-5"/>
          <w:position w:val="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00A0E9"/>
          <w:spacing w:val="-5"/>
          <w:position w:val="2"/>
        </w:rPr>
        <w:t>结果</w:t>
      </w:r>
    </w:p>
    <w:p>
      <w:pPr>
        <w:pStyle w:val="BodyText"/>
        <w:ind w:left="446"/>
        <w:spacing w:before="131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2.1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两组误诊率以及漏诊率情况</w:t>
      </w:r>
    </w:p>
    <w:p>
      <w:pPr>
        <w:pStyle w:val="BodyText"/>
        <w:ind w:left="339" w:right="192" w:firstLine="490"/>
        <w:spacing w:before="78" w:line="23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观察组患者漏诊率、误诊率明显低于对照组患者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i/>
          <w:iCs/>
          <w:spacing w:val="-5"/>
        </w:rPr>
        <w:t>P</w:t>
      </w:r>
      <w:r>
        <w:rPr>
          <w:sz w:val="19"/>
          <w:szCs w:val="19"/>
          <w:spacing w:val="-5"/>
        </w:rPr>
        <w:t>&lt;0.05</w:t>
      </w:r>
      <w:r>
        <w:rPr>
          <w:rFonts w:ascii="Microsoft YaHei" w:hAnsi="Microsoft YaHei" w:eastAsia="Microsoft YaHei" w:cs="Microsoft YaHei"/>
          <w:sz w:val="19"/>
          <w:szCs w:val="19"/>
          <w:spacing w:val="-43"/>
          <w:w w:val="96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见表 </w:t>
      </w:r>
      <w:r>
        <w:rPr>
          <w:sz w:val="19"/>
          <w:szCs w:val="19"/>
          <w:spacing w:val="-5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</w:t>
      </w:r>
    </w:p>
    <w:p>
      <w:pPr>
        <w:pStyle w:val="BodyText"/>
        <w:ind w:left="446"/>
        <w:spacing w:before="1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7"/>
        </w:rPr>
        <w:t>2.2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两组临床诊断结果</w:t>
      </w:r>
    </w:p>
    <w:p>
      <w:pPr>
        <w:pStyle w:val="BodyText"/>
        <w:ind w:left="444" w:right="33" w:firstLine="386"/>
        <w:spacing w:before="82" w:line="25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患者使用病理或者手术检测确诊中，  有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4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例为异位妊娠，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有 </w:t>
      </w:r>
      <w:r>
        <w:rPr>
          <w:sz w:val="18"/>
          <w:szCs w:val="18"/>
          <w:spacing w:val="-1"/>
        </w:rPr>
        <w:t>12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例为卵巢黄体囊肿破裂，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"/>
        </w:rPr>
        <w:t>6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例为卵巢囊肿蒂扭转，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sz w:val="18"/>
          <w:szCs w:val="18"/>
          <w:spacing w:val="10"/>
        </w:rPr>
        <w:t>6</w:t>
      </w:r>
      <w:r>
        <w:rPr>
          <w:sz w:val="18"/>
          <w:szCs w:val="18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例为输卵管扭转，有</w:t>
      </w:r>
      <w:r>
        <w:rPr>
          <w:sz w:val="18"/>
          <w:szCs w:val="18"/>
          <w:spacing w:val="10"/>
        </w:rPr>
        <w:t>12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例为急性盆腔炎，有</w:t>
      </w:r>
      <w:r>
        <w:rPr>
          <w:sz w:val="18"/>
          <w:szCs w:val="18"/>
          <w:spacing w:val="10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例为子宫穿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孔。在对照组检测中发现，有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9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例为异位妊娠，有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9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例出现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漏诊；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有 </w:t>
      </w:r>
      <w:r>
        <w:rPr>
          <w:sz w:val="18"/>
          <w:szCs w:val="18"/>
          <w:spacing w:val="4"/>
        </w:rPr>
        <w:t>11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例出现卵巢黄体囊肿破裂，有 </w:t>
      </w:r>
      <w:r>
        <w:rPr>
          <w:sz w:val="18"/>
          <w:szCs w:val="18"/>
          <w:spacing w:val="4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例漏诊，有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4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误诊；有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8"/>
        </w:rPr>
        <w:t>5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例为卵巢囊肿蒂扭转，有 </w:t>
      </w:r>
      <w:r>
        <w:rPr>
          <w:sz w:val="18"/>
          <w:szCs w:val="18"/>
          <w:spacing w:val="8"/>
        </w:rPr>
        <w:t>1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例漏诊，有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7"/>
        </w:rPr>
        <w:t>1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例出现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误诊。有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3"/>
        </w:rPr>
        <w:t>5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例为输卵管扭转， 有 </w:t>
      </w:r>
      <w:r>
        <w:rPr>
          <w:sz w:val="18"/>
          <w:szCs w:val="18"/>
          <w:spacing w:val="3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例漏诊。有 </w:t>
      </w:r>
      <w:r>
        <w:rPr>
          <w:sz w:val="18"/>
          <w:szCs w:val="18"/>
          <w:spacing w:val="3"/>
        </w:rPr>
        <w:t>12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例为急性盆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腔炎，有 </w:t>
      </w:r>
      <w:r>
        <w:rPr>
          <w:sz w:val="18"/>
          <w:szCs w:val="18"/>
        </w:rPr>
        <w:t>1</w:t>
      </w:r>
      <w:r>
        <w:rPr>
          <w:sz w:val="18"/>
          <w:szCs w:val="18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例漏诊，有 </w:t>
      </w:r>
      <w:r>
        <w:rPr>
          <w:sz w:val="18"/>
          <w:szCs w:val="18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例误诊。有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例为子宫穿孔， 有 </w:t>
      </w:r>
      <w:r>
        <w:rPr>
          <w:sz w:val="18"/>
          <w:szCs w:val="18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漏诊。在观察组检查中发现，有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8"/>
        </w:rPr>
        <w:t>3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例为异位妊娠，有 </w:t>
      </w:r>
      <w:r>
        <w:rPr>
          <w:sz w:val="18"/>
          <w:szCs w:val="18"/>
          <w:spacing w:val="8"/>
        </w:rPr>
        <w:t>1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诊；有 </w:t>
      </w:r>
      <w:r>
        <w:rPr>
          <w:sz w:val="18"/>
          <w:szCs w:val="18"/>
          <w:spacing w:val="4"/>
        </w:rPr>
        <w:t>12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例为卵巢黄体囊肿破裂，有 </w:t>
      </w:r>
      <w:r>
        <w:rPr>
          <w:sz w:val="18"/>
          <w:szCs w:val="18"/>
          <w:spacing w:val="4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例误诊； 有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4"/>
        </w:rPr>
        <w:t>6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例为卵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巢囊肿蒂扭转，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6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例为输卵管扭转， 有 </w:t>
      </w:r>
      <w:r>
        <w:rPr>
          <w:sz w:val="18"/>
          <w:szCs w:val="18"/>
        </w:rPr>
        <w:t>12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例为急性盆腔炎，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有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6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例为子宫穿孔。观察组的检出率达到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6"/>
        </w:rPr>
        <w:t>97.67%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，对照组的</w:t>
      </w:r>
    </w:p>
    <w:p>
      <w:pPr>
        <w:spacing w:line="48" w:lineRule="exact"/>
        <w:rPr/>
      </w:pPr>
      <w:r/>
    </w:p>
    <w:tbl>
      <w:tblPr>
        <w:tblStyle w:val="TableNormal"/>
        <w:tblW w:w="4875" w:type="dxa"/>
        <w:tblInd w:w="44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008"/>
        <w:gridCol w:w="863"/>
        <w:gridCol w:w="1501"/>
        <w:gridCol w:w="1503"/>
      </w:tblGrid>
      <w:tr>
        <w:trPr>
          <w:trHeight w:val="290" w:hRule="atLeast"/>
        </w:trPr>
        <w:tc>
          <w:tcPr>
            <w:shd w:val="clear" w:fill="0092D8"/>
            <w:tcW w:w="4875" w:type="dxa"/>
            <w:vAlign w:val="top"/>
            <w:gridSpan w:val="4"/>
          </w:tcPr>
          <w:p>
            <w:pPr>
              <w:ind w:left="32"/>
              <w:spacing w:before="31" w:line="23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5"/>
                <w:position w:val="2"/>
              </w:rPr>
              <w:t>表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1.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5"/>
                <w:position w:val="2"/>
              </w:rPr>
              <w:t>两组患者漏诊率、误诊率比较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5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FFFFFF"/>
                <w:spacing w:val="5"/>
                <w:position w:val="2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(%)]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008" w:type="dxa"/>
            <w:vAlign w:val="top"/>
          </w:tcPr>
          <w:p>
            <w:pPr>
              <w:ind w:left="349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5"/>
              </w:rPr>
              <w:t>组别</w:t>
            </w:r>
          </w:p>
        </w:tc>
        <w:tc>
          <w:tcPr>
            <w:shd w:val="clear" w:fill="D9E0E3"/>
            <w:tcW w:w="863" w:type="dxa"/>
            <w:vAlign w:val="top"/>
          </w:tcPr>
          <w:p>
            <w:pPr>
              <w:ind w:left="272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例数</w:t>
            </w:r>
          </w:p>
        </w:tc>
        <w:tc>
          <w:tcPr>
            <w:shd w:val="clear" w:fill="D9E0E3"/>
            <w:tcW w:w="1501" w:type="dxa"/>
            <w:vAlign w:val="top"/>
          </w:tcPr>
          <w:p>
            <w:pPr>
              <w:ind w:left="515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漏诊率</w:t>
            </w:r>
          </w:p>
        </w:tc>
        <w:tc>
          <w:tcPr>
            <w:shd w:val="clear" w:fill="D9E0E3"/>
            <w:tcW w:w="1503" w:type="dxa"/>
            <w:vAlign w:val="top"/>
          </w:tcPr>
          <w:p>
            <w:pPr>
              <w:ind w:left="516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误诊率</w:t>
            </w:r>
          </w:p>
        </w:tc>
      </w:tr>
      <w:tr>
        <w:trPr>
          <w:trHeight w:val="245" w:hRule="atLeast"/>
        </w:trPr>
        <w:tc>
          <w:tcPr>
            <w:tcW w:w="1008" w:type="dxa"/>
            <w:vAlign w:val="top"/>
            <w:tcBorders>
              <w:bottom w:val="single" w:color="9FA0A0" w:sz="2" w:space="0"/>
            </w:tcBorders>
          </w:tcPr>
          <w:p>
            <w:pPr>
              <w:ind w:left="263"/>
              <w:spacing w:before="48" w:line="16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对照组</w:t>
            </w:r>
          </w:p>
        </w:tc>
        <w:tc>
          <w:tcPr>
            <w:tcW w:w="86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50"/>
              <w:spacing w:before="71" w:line="186" w:lineRule="auto"/>
              <w:rPr/>
            </w:pPr>
            <w:r>
              <w:rPr>
                <w:spacing w:val="-1"/>
              </w:rPr>
              <w:t>43</w:t>
            </w:r>
          </w:p>
        </w:tc>
        <w:tc>
          <w:tcPr>
            <w:tcW w:w="150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15"/>
              <w:spacing w:before="68" w:line="190" w:lineRule="auto"/>
              <w:rPr/>
            </w:pPr>
            <w:r>
              <w:rPr>
                <w:spacing w:val="-1"/>
              </w:rPr>
              <w:t>6(13.95%)</w:t>
            </w:r>
          </w:p>
        </w:tc>
        <w:tc>
          <w:tcPr>
            <w:tcW w:w="150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52"/>
              <w:spacing w:before="68" w:line="190" w:lineRule="auto"/>
              <w:rPr/>
            </w:pPr>
            <w:r>
              <w:rPr>
                <w:spacing w:val="-1"/>
              </w:rPr>
              <w:t>4(9.31%)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100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66"/>
              <w:spacing w:before="46" w:line="16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观察组</w:t>
            </w:r>
          </w:p>
        </w:tc>
        <w:tc>
          <w:tcPr>
            <w:shd w:val="clear" w:fill="F2F4F6"/>
            <w:tcW w:w="86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50"/>
              <w:spacing w:before="72" w:line="186" w:lineRule="auto"/>
              <w:rPr/>
            </w:pPr>
            <w:r>
              <w:rPr>
                <w:spacing w:val="-1"/>
              </w:rPr>
              <w:t>43</w:t>
            </w:r>
          </w:p>
        </w:tc>
        <w:tc>
          <w:tcPr>
            <w:shd w:val="clear" w:fill="F2F4F6"/>
            <w:tcW w:w="150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67"/>
              <w:spacing w:before="68" w:line="190" w:lineRule="auto"/>
              <w:rPr/>
            </w:pPr>
            <w:r>
              <w:rPr>
                <w:spacing w:val="-3"/>
              </w:rPr>
              <w:t>1(2.32%)</w:t>
            </w:r>
          </w:p>
        </w:tc>
        <w:tc>
          <w:tcPr>
            <w:shd w:val="clear" w:fill="F2F4F6"/>
            <w:tcW w:w="150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68"/>
              <w:spacing w:before="68" w:line="190" w:lineRule="auto"/>
              <w:rPr/>
            </w:pPr>
            <w:r>
              <w:rPr>
                <w:spacing w:val="-3"/>
              </w:rPr>
              <w:t>1(2.32%)</w:t>
            </w:r>
          </w:p>
        </w:tc>
      </w:tr>
      <w:tr>
        <w:trPr>
          <w:trHeight w:val="244" w:hRule="atLeast"/>
        </w:trPr>
        <w:tc>
          <w:tcPr>
            <w:tcW w:w="100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27"/>
              <w:spacing w:before="59" w:line="197" w:lineRule="auto"/>
              <w:rPr>
                <w:sz w:val="9"/>
                <w:szCs w:val="9"/>
              </w:rPr>
            </w:pPr>
            <w:r>
              <w:rPr>
                <w:i/>
                <w:iCs/>
                <w:spacing w:val="9"/>
                <w:position w:val="-1"/>
              </w:rPr>
              <w:t>χ</w:t>
            </w:r>
            <w:r>
              <w:rPr>
                <w:sz w:val="9"/>
                <w:szCs w:val="9"/>
                <w:spacing w:val="9"/>
                <w:position w:val="3"/>
              </w:rPr>
              <w:t>2</w:t>
            </w:r>
          </w:p>
        </w:tc>
        <w:tc>
          <w:tcPr>
            <w:tcW w:w="86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150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74"/>
              <w:spacing w:before="72" w:line="186" w:lineRule="auto"/>
              <w:rPr/>
            </w:pPr>
            <w:r>
              <w:rPr>
                <w:spacing w:val="-1"/>
              </w:rPr>
              <w:t>9.049</w:t>
            </w:r>
          </w:p>
        </w:tc>
        <w:tc>
          <w:tcPr>
            <w:tcW w:w="150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72"/>
              <w:spacing w:before="72" w:line="186" w:lineRule="auto"/>
              <w:rPr/>
            </w:pPr>
            <w:r>
              <w:rPr>
                <w:spacing w:val="-1"/>
              </w:rPr>
              <w:t>4.461</w:t>
            </w:r>
          </w:p>
        </w:tc>
      </w:tr>
      <w:tr>
        <w:trPr>
          <w:trHeight w:val="247" w:hRule="atLeast"/>
        </w:trPr>
        <w:tc>
          <w:tcPr>
            <w:shd w:val="clear" w:fill="F2F4F6"/>
            <w:tcW w:w="100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49"/>
              <w:spacing w:before="72" w:line="183" w:lineRule="auto"/>
              <w:rPr/>
            </w:pPr>
            <w:r>
              <w:rPr>
                <w:i/>
                <w:iCs/>
                <w:spacing w:val="5"/>
              </w:rPr>
              <w:t>P</w:t>
            </w:r>
          </w:p>
        </w:tc>
        <w:tc>
          <w:tcPr>
            <w:shd w:val="clear" w:fill="F2F4F6"/>
            <w:tcW w:w="86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150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74"/>
              <w:spacing w:before="74" w:line="186" w:lineRule="auto"/>
              <w:rPr/>
            </w:pPr>
            <w:r>
              <w:rPr>
                <w:spacing w:val="-1"/>
              </w:rPr>
              <w:t>0.003</w:t>
            </w:r>
          </w:p>
        </w:tc>
        <w:tc>
          <w:tcPr>
            <w:shd w:val="clear" w:fill="F2F4F6"/>
            <w:tcW w:w="150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75"/>
              <w:spacing w:before="74" w:line="186" w:lineRule="auto"/>
              <w:rPr/>
            </w:pPr>
            <w:r>
              <w:rPr>
                <w:spacing w:val="-1"/>
              </w:rPr>
              <w:t>0.035</w:t>
            </w:r>
          </w:p>
        </w:tc>
      </w:tr>
    </w:tbl>
    <w:p>
      <w:pPr>
        <w:spacing w:line="113" w:lineRule="exact"/>
        <w:rPr/>
      </w:pPr>
      <w:r/>
    </w:p>
    <w:tbl>
      <w:tblPr>
        <w:tblStyle w:val="TableNormal"/>
        <w:tblW w:w="4880" w:type="dxa"/>
        <w:tblInd w:w="439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378"/>
        <w:gridCol w:w="1161"/>
        <w:gridCol w:w="1161"/>
        <w:gridCol w:w="589"/>
        <w:gridCol w:w="591"/>
      </w:tblGrid>
      <w:tr>
        <w:trPr>
          <w:trHeight w:val="291" w:hRule="atLeast"/>
        </w:trPr>
        <w:tc>
          <w:tcPr>
            <w:shd w:val="clear" w:fill="0092D8"/>
            <w:tcW w:w="4880" w:type="dxa"/>
            <w:vAlign w:val="top"/>
            <w:gridSpan w:val="5"/>
          </w:tcPr>
          <w:p>
            <w:pPr>
              <w:ind w:left="32"/>
              <w:spacing w:before="55" w:line="224" w:lineRule="exact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9"/>
                <w:position w:val="1"/>
              </w:rPr>
              <w:t>表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9"/>
                <w:position w:val="1"/>
              </w:rPr>
              <w:t>2.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9"/>
                <w:position w:val="1"/>
              </w:rPr>
              <w:t>两组检出率情况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378" w:type="dxa"/>
            <w:vAlign w:val="top"/>
          </w:tcPr>
          <w:p>
            <w:pPr>
              <w:ind w:left="532"/>
              <w:spacing w:before="41" w:line="238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项目</w:t>
            </w:r>
          </w:p>
        </w:tc>
        <w:tc>
          <w:tcPr>
            <w:shd w:val="clear" w:fill="D9E0E3"/>
            <w:tcW w:w="1161" w:type="dxa"/>
            <w:vAlign w:val="top"/>
          </w:tcPr>
          <w:p>
            <w:pPr>
              <w:ind w:left="342"/>
              <w:spacing w:before="41" w:line="238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观察组</w:t>
            </w:r>
          </w:p>
        </w:tc>
        <w:tc>
          <w:tcPr>
            <w:shd w:val="clear" w:fill="D9E0E3"/>
            <w:tcW w:w="1161" w:type="dxa"/>
            <w:vAlign w:val="top"/>
          </w:tcPr>
          <w:p>
            <w:pPr>
              <w:ind w:left="342"/>
              <w:spacing w:before="41" w:line="238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对照组</w:t>
            </w:r>
          </w:p>
        </w:tc>
        <w:tc>
          <w:tcPr>
            <w:shd w:val="clear" w:fill="D9E0E3"/>
            <w:tcW w:w="589" w:type="dxa"/>
            <w:vAlign w:val="top"/>
          </w:tcPr>
          <w:p>
            <w:pPr>
              <w:ind w:left="217"/>
              <w:spacing w:before="59" w:line="202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Cambria" w:hAnsi="Cambria" w:eastAsia="Cambria" w:cs="Cambria"/>
                <w:sz w:val="15"/>
                <w:szCs w:val="15"/>
                <w:i/>
                <w:iCs/>
                <w:spacing w:val="12"/>
                <w:position w:val="-1"/>
              </w:rPr>
              <w:t>χ</w:t>
            </w:r>
            <w:r>
              <w:rPr>
                <w:rFonts w:ascii="Arial" w:hAnsi="Arial" w:eastAsia="Arial" w:cs="Arial"/>
                <w:sz w:val="8"/>
                <w:szCs w:val="8"/>
                <w:spacing w:val="12"/>
                <w:position w:val="3"/>
              </w:rPr>
              <w:t>2</w:t>
            </w:r>
          </w:p>
        </w:tc>
        <w:tc>
          <w:tcPr>
            <w:shd w:val="clear" w:fill="D9E0E3"/>
            <w:tcW w:w="591" w:type="dxa"/>
            <w:vAlign w:val="top"/>
          </w:tcPr>
          <w:p>
            <w:pPr>
              <w:ind w:left="250"/>
              <w:spacing w:before="68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4"/>
              </w:rPr>
              <w:t>P</w:t>
            </w:r>
          </w:p>
        </w:tc>
      </w:tr>
      <w:tr>
        <w:trPr>
          <w:trHeight w:val="245" w:hRule="atLeast"/>
        </w:trPr>
        <w:tc>
          <w:tcPr>
            <w:tcW w:w="1378" w:type="dxa"/>
            <w:vAlign w:val="top"/>
            <w:tcBorders>
              <w:bottom w:val="single" w:color="9FA0A0" w:sz="2" w:space="0"/>
            </w:tcBorders>
          </w:tcPr>
          <w:p>
            <w:pPr>
              <w:ind w:left="370"/>
              <w:spacing w:before="43" w:line="16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异位妊娠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84"/>
              <w:spacing w:before="67" w:line="190" w:lineRule="auto"/>
              <w:rPr/>
            </w:pPr>
            <w:r>
              <w:rPr>
                <w:spacing w:val="-1"/>
              </w:rPr>
              <w:t>3(6.98%)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82"/>
              <w:spacing w:before="67" w:line="190" w:lineRule="auto"/>
              <w:rPr/>
            </w:pPr>
            <w:r>
              <w:rPr>
                <w:spacing w:val="-1"/>
              </w:rPr>
              <w:t>2(4.65%)</w:t>
            </w:r>
          </w:p>
        </w:tc>
        <w:tc>
          <w:tcPr>
            <w:tcW w:w="589" w:type="dxa"/>
            <w:vAlign w:val="top"/>
            <w:tcBorders>
              <w:bottom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591" w:type="dxa"/>
            <w:vAlign w:val="top"/>
            <w:tcBorders>
              <w:bottom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5" w:hRule="atLeast"/>
        </w:trPr>
        <w:tc>
          <w:tcPr>
            <w:shd w:val="clear" w:fill="F2F4F6"/>
            <w:tcW w:w="13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3"/>
              <w:spacing w:before="42" w:line="16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卵巢黄体囊肿破裂</w:t>
            </w:r>
          </w:p>
        </w:tc>
        <w:tc>
          <w:tcPr>
            <w:shd w:val="clear" w:fill="F2F4F6"/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16"/>
              <w:spacing w:before="67" w:line="190" w:lineRule="auto"/>
              <w:rPr/>
            </w:pPr>
            <w:r>
              <w:rPr>
                <w:spacing w:val="-2"/>
              </w:rPr>
              <w:t>12(27.91%)</w:t>
            </w:r>
          </w:p>
        </w:tc>
        <w:tc>
          <w:tcPr>
            <w:shd w:val="clear" w:fill="F2F4F6"/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0"/>
              <w:spacing w:before="67" w:line="190" w:lineRule="auto"/>
              <w:rPr/>
            </w:pPr>
            <w:r>
              <w:rPr>
                <w:spacing w:val="-3"/>
              </w:rPr>
              <w:t>11(25.58%)</w:t>
            </w:r>
          </w:p>
        </w:tc>
        <w:tc>
          <w:tcPr>
            <w:shd w:val="clear" w:fill="F2F4F6"/>
            <w:tcW w:w="58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5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5" w:hRule="atLeast"/>
        </w:trPr>
        <w:tc>
          <w:tcPr>
            <w:tcW w:w="13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133"/>
              <w:spacing w:before="45" w:line="16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卵巢囊肿蒂扭转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44"/>
              <w:spacing w:before="68" w:line="190" w:lineRule="auto"/>
              <w:rPr/>
            </w:pPr>
            <w:r>
              <w:rPr>
                <w:spacing w:val="-1"/>
              </w:rPr>
              <w:t>6(13.95%)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49"/>
              <w:spacing w:before="68" w:line="190" w:lineRule="auto"/>
              <w:rPr/>
            </w:pPr>
            <w:r>
              <w:rPr>
                <w:spacing w:val="-2"/>
              </w:rPr>
              <w:t>5(11.62%)</w:t>
            </w:r>
          </w:p>
        </w:tc>
        <w:tc>
          <w:tcPr>
            <w:tcW w:w="58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5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5" w:hRule="atLeast"/>
        </w:trPr>
        <w:tc>
          <w:tcPr>
            <w:shd w:val="clear" w:fill="F2F4F6"/>
            <w:tcW w:w="13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88"/>
              <w:spacing w:before="47" w:line="16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输卵管扭转</w:t>
            </w:r>
          </w:p>
        </w:tc>
        <w:tc>
          <w:tcPr>
            <w:shd w:val="clear" w:fill="F2F4F6"/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44"/>
              <w:spacing w:before="69" w:line="190" w:lineRule="auto"/>
              <w:rPr/>
            </w:pPr>
            <w:r>
              <w:rPr>
                <w:spacing w:val="-1"/>
              </w:rPr>
              <w:t>6(13.95%)</w:t>
            </w:r>
          </w:p>
        </w:tc>
        <w:tc>
          <w:tcPr>
            <w:shd w:val="clear" w:fill="F2F4F6"/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49"/>
              <w:spacing w:before="69" w:line="190" w:lineRule="auto"/>
              <w:rPr/>
            </w:pPr>
            <w:r>
              <w:rPr>
                <w:spacing w:val="-2"/>
              </w:rPr>
              <w:t>5(11.62%)</w:t>
            </w:r>
          </w:p>
        </w:tc>
        <w:tc>
          <w:tcPr>
            <w:shd w:val="clear" w:fill="F2F4F6"/>
            <w:tcW w:w="58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5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5" w:hRule="atLeast"/>
        </w:trPr>
        <w:tc>
          <w:tcPr>
            <w:tcW w:w="13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91"/>
              <w:spacing w:before="49" w:line="16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急性盆腔炎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16"/>
              <w:spacing w:before="70" w:line="190" w:lineRule="auto"/>
              <w:rPr/>
            </w:pPr>
            <w:r>
              <w:rPr>
                <w:spacing w:val="-2"/>
              </w:rPr>
              <w:t>12(27.91%)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17"/>
              <w:spacing w:before="70" w:line="190" w:lineRule="auto"/>
              <w:rPr/>
            </w:pPr>
            <w:r>
              <w:rPr>
                <w:spacing w:val="-2"/>
              </w:rPr>
              <w:t>12(27.91%)</w:t>
            </w:r>
          </w:p>
        </w:tc>
        <w:tc>
          <w:tcPr>
            <w:tcW w:w="58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5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5" w:hRule="atLeast"/>
        </w:trPr>
        <w:tc>
          <w:tcPr>
            <w:shd w:val="clear" w:fill="F2F4F6"/>
            <w:tcW w:w="13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369"/>
              <w:spacing w:before="48" w:line="16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子宫穿孔</w:t>
            </w:r>
          </w:p>
        </w:tc>
        <w:tc>
          <w:tcPr>
            <w:shd w:val="clear" w:fill="F2F4F6"/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83"/>
              <w:spacing w:before="70" w:line="190" w:lineRule="auto"/>
              <w:rPr/>
            </w:pPr>
            <w:r>
              <w:rPr>
                <w:spacing w:val="-1"/>
              </w:rPr>
              <w:t>3(6.98%)</w:t>
            </w:r>
          </w:p>
        </w:tc>
        <w:tc>
          <w:tcPr>
            <w:shd w:val="clear" w:fill="F2F4F6"/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82"/>
              <w:spacing w:before="70" w:line="190" w:lineRule="auto"/>
              <w:rPr/>
            </w:pPr>
            <w:r>
              <w:rPr>
                <w:spacing w:val="-1"/>
              </w:rPr>
              <w:t>2(4.65%)</w:t>
            </w:r>
          </w:p>
        </w:tc>
        <w:tc>
          <w:tcPr>
            <w:shd w:val="clear" w:fill="F2F4F6"/>
            <w:tcW w:w="58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5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8" w:hRule="atLeast"/>
        </w:trPr>
        <w:tc>
          <w:tcPr>
            <w:tcW w:w="13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34"/>
              <w:spacing w:before="48" w:line="16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总计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99"/>
              <w:spacing w:before="71" w:line="190" w:lineRule="auto"/>
              <w:rPr/>
            </w:pPr>
            <w:r>
              <w:rPr>
                <w:spacing w:val="-1"/>
              </w:rPr>
              <w:t>42(97.67%)</w:t>
            </w:r>
          </w:p>
        </w:tc>
        <w:tc>
          <w:tcPr>
            <w:tcW w:w="116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05"/>
              <w:spacing w:before="71" w:line="190" w:lineRule="auto"/>
              <w:rPr/>
            </w:pPr>
            <w:r>
              <w:rPr>
                <w:spacing w:val="-1"/>
              </w:rPr>
              <w:t>37(86.05%)</w:t>
            </w:r>
          </w:p>
        </w:tc>
        <w:tc>
          <w:tcPr>
            <w:tcW w:w="58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19"/>
              <w:spacing w:before="74" w:line="186" w:lineRule="auto"/>
              <w:rPr/>
            </w:pPr>
            <w:r>
              <w:rPr>
                <w:spacing w:val="-1"/>
              </w:rPr>
              <w:t>9.049</w:t>
            </w:r>
          </w:p>
        </w:tc>
        <w:tc>
          <w:tcPr>
            <w:tcW w:w="59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19"/>
              <w:spacing w:before="74" w:line="186" w:lineRule="auto"/>
              <w:rPr/>
            </w:pPr>
            <w:r>
              <w:rPr>
                <w:spacing w:val="-1"/>
              </w:rPr>
              <w:t>0.003</w:t>
            </w:r>
          </w:p>
        </w:tc>
      </w:tr>
    </w:tbl>
    <w:p>
      <w:pPr>
        <w:spacing w:line="136" w:lineRule="exact"/>
        <w:rPr>
          <w:rFonts w:ascii="Arial"/>
          <w:sz w:val="1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7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检出率达到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6"/>
        </w:rPr>
        <w:t>86.05%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，差异较大（</w:t>
      </w:r>
      <w:r>
        <w:rPr>
          <w:sz w:val="18"/>
          <w:szCs w:val="18"/>
          <w:i/>
          <w:iCs/>
          <w:spacing w:val="6"/>
        </w:rPr>
        <w:t>P</w:t>
      </w:r>
      <w:r>
        <w:rPr>
          <w:sz w:val="18"/>
          <w:szCs w:val="18"/>
          <w:spacing w:val="6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40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6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</w:t>
      </w:r>
    </w:p>
    <w:p>
      <w:pPr>
        <w:ind w:left="20"/>
        <w:spacing w:before="347" w:line="25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1"/>
          <w:position w:val="2"/>
        </w:rPr>
        <w:t>讨论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 xml:space="preserve">                                         </w:t>
      </w:r>
    </w:p>
    <w:p>
      <w:pPr>
        <w:pStyle w:val="BodyText"/>
        <w:ind w:firstLine="380"/>
        <w:spacing w:before="104" w:line="236" w:lineRule="auto"/>
        <w:tabs>
          <w:tab w:val="left" w:pos="5028"/>
        </w:tabs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妇产科急腹症主要是指人体因原有妇产科疾病而引发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的剧烈腹痛，或原无腹痛现象，在某时间段忽然发生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11"/>
          <w:szCs w:val="11"/>
          <w:spacing w:val="-3"/>
          <w:position w:val="6"/>
        </w:rPr>
        <w:t>[4]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。引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发妇产科急腹症的主要因素为妇科炎性疾病，如子宫穿孔、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急性盆腔炎、卵巢脓肿、异位妊娠、流产等，该病发病较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急，典型临床表现为剧烈腹痛，如不及时进行治疗，患者往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往会出现休克、死亡现象。近年来， 妇产科急腹症发病率明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显增加，严重损害了女性身体健康，对其生命安全也造成了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严重威胁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1"/>
          <w:szCs w:val="11"/>
          <w:spacing w:val="-3"/>
          <w:position w:val="6"/>
        </w:rPr>
        <w:t>[5]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。但是急腹症的临床表现差别较大，特异性较低，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很难通过临床表现确诊患者的疾病类型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1"/>
          <w:szCs w:val="11"/>
          <w:spacing w:val="-1"/>
          <w:position w:val="6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。为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有效保障妇产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科急腹症患者的临床治疗效果，使其早日并回归正常工作与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生活，临床中务必要给予疑似妇产科急腹症患者相关诊断方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式，以最大程度提升临床诊断的准确性，为其后续治疗奠定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丰厚基础。</w:t>
      </w:r>
    </w:p>
    <w:p>
      <w:pPr>
        <w:pStyle w:val="BodyText"/>
        <w:ind w:right="156" w:firstLine="383"/>
        <w:spacing w:before="15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在临床上一般检测中使用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CT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检测以及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超检测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，检测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过程中存在一定的局限性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1"/>
          <w:szCs w:val="11"/>
          <w:spacing w:val="-1"/>
          <w:position w:val="6"/>
        </w:rPr>
        <w:t>[7]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。超声检查作为临床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中常用的诊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断方式之一，其原理为采用弱超声波对人体进行照射，将人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体组织对弱超声波的反射情况进行图像处理。此种检查方式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具有价格低廉、检查方便、无创、安全性高等特点，超声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检查可以将人体各组织结构清晰显示，并精确定位患者病灶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位置及体积大小。腹部超声检查主要是对人体腹部脏器进行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检查，此种检查方式可对人体腹部脏器形态、结构组织、病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灶大小情况详细观察，从而提升总体诊断准确性。腹部超声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检测中检测的范围比较大，并且能够比较好的检测出腹部脏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器与病变位置之间的界限，在检测过程中具有较高的敏感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性。由于在检测过程中需要将膀胱作为透声窗，因此在进行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腹部超声检查前，受检者务必要保持膀胱充盈，且保持空腹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状态，很多受检者往往因膀胱充盈度不足或胃肠气体干扰等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因素，对整体诊断的准确性也造成了一定影响。有些患者的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腹部的脂肪比较厚，本身肥胖，会对腹部超声检测造成不良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的影响，造成检测图像质量较低，增加检测的误诊率，漏诊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率。另外，还有些患者发生剧烈的腹部疼痛，在检测过程中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会发生变动体位的情况，也会增加诊断的难度。</w:t>
      </w:r>
    </w:p>
    <w:p>
      <w:pPr>
        <w:pStyle w:val="BodyText"/>
        <w:ind w:left="2" w:right="156" w:firstLine="395"/>
        <w:spacing w:before="4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阴道超声可帮助临床医生清晰、直观地观察受检者的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子宫、盆腔等脏器有无出现病变情况，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阴道超声探头在进行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检查时，会紧贴在受检者的宫颈或后穹隆部位，可更为清晰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地显示盆腔脏器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1"/>
          <w:szCs w:val="11"/>
          <w:spacing w:val="1"/>
          <w:position w:val="5"/>
        </w:rPr>
        <w:t>[8,9]</w:t>
      </w:r>
      <w:r>
        <w:rPr>
          <w:sz w:val="11"/>
          <w:szCs w:val="11"/>
          <w:spacing w:val="-6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。相对于腹部超声检查来说，阴道超声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在检查前无需保持膀胱充盈，以有效缓解受检者因长时间憋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尿而造成的生理痛苦，且超声探头频率在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5~9MHz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之间，腹</w:t>
      </w:r>
    </w:p>
    <w:p>
      <w:pPr>
        <w:spacing w:line="237" w:lineRule="auto"/>
        <w:sectPr>
          <w:headerReference w:type="default" r:id="rId4"/>
          <w:pgSz w:w="11906" w:h="16158"/>
          <w:pgMar w:top="1" w:right="863" w:bottom="0" w:left="407" w:header="0" w:footer="0" w:gutter="0"/>
          <w:cols w:equalWidth="0" w:num="2">
            <w:col w:w="5503" w:space="100"/>
            <w:col w:w="503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453"/>
        <w:spacing w:before="204" w:line="177" w:lineRule="exact"/>
        <w:rPr>
          <w:rFonts w:ascii="Candara" w:hAnsi="Candara" w:eastAsia="Candara" w:cs="Candara"/>
          <w:sz w:val="14"/>
          <w:szCs w:val="1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277745</wp:posOffset>
            </wp:positionH>
            <wp:positionV relativeFrom="paragraph">
              <wp:posOffset>-9625782</wp:posOffset>
            </wp:positionV>
            <wp:extent cx="6350" cy="7200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  <w:sz w:val="16"/>
          <w:szCs w:val="16"/>
          <w:color w:val="800072"/>
          <w:position w:val="11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</w:rPr>
        <w:t>90  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5"/>
          <w:w w:val="102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6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  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2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</w:rPr>
        <w:t>Information</w:t>
      </w:r>
    </w:p>
    <w:p>
      <w:pPr>
        <w:spacing w:line="177" w:lineRule="exact"/>
        <w:sectPr>
          <w:type w:val="continuous"/>
          <w:pgSz w:w="11906" w:h="16158"/>
          <w:pgMar w:top="1" w:right="863" w:bottom="0" w:left="407" w:header="0" w:footer="0" w:gutter="0"/>
          <w:cols w:equalWidth="0" w:num="1">
            <w:col w:w="10634" w:space="0"/>
          </w:cols>
        </w:sectPr>
        <w:rPr>
          <w:rFonts w:ascii="Candara" w:hAnsi="Candara" w:eastAsia="Candara" w:cs="Candara"/>
          <w:sz w:val="14"/>
          <w:szCs w:val="14"/>
        </w:rPr>
      </w:pPr>
    </w:p>
    <w:p>
      <w:pPr>
        <w:spacing w:before="232"/>
        <w:rPr/>
      </w:pPr>
      <w:r/>
    </w:p>
    <w:p>
      <w:pPr>
        <w:sectPr>
          <w:headerReference w:type="default" r:id="rId6"/>
          <w:pgSz w:w="11906" w:h="16158"/>
          <w:pgMar w:top="1191" w:right="679" w:bottom="0" w:left="407" w:header="0" w:footer="0" w:gutter="0"/>
          <w:cols w:equalWidth="0" w:num="1">
            <w:col w:w="10819" w:space="0"/>
          </w:cols>
        </w:sectPr>
        <w:rPr/>
      </w:pPr>
    </w:p>
    <w:p>
      <w:pPr>
        <w:pStyle w:val="BodyText"/>
        <w:ind w:left="614" w:right="185" w:firstLine="1"/>
        <w:spacing w:before="41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部超声探头频率仅为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3.5</w:t>
      </w:r>
      <w:r>
        <w:rPr>
          <w:sz w:val="19"/>
          <w:szCs w:val="19"/>
        </w:rPr>
        <w:t>MHz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，阴道超声探头分辨率</w:t>
      </w:r>
      <w:r>
        <w:rPr>
          <w:rFonts w:ascii="Microsoft YaHei" w:hAnsi="Microsoft YaHei" w:eastAsia="Microsoft YaHei" w:cs="Microsoft YaHei"/>
          <w:sz w:val="19"/>
          <w:szCs w:val="19"/>
        </w:rPr>
        <w:t>明显更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高，可更为清晰地显示患者体内病灶部位。由于阴道超声检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测过程中不需要提前憋尿，有利于缩短检测时间，可以为患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者治疗争取更多的时间，可以更快的确诊疾病，及时进行治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疗。阴道检测探头功能更高，在宫颈，阴道穹窿处等位置扫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描后，可以得到更加清晰的图像。针对病灶边界模糊，病灶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组织比较小的患者，应用效果较好。</w:t>
      </w:r>
    </w:p>
    <w:p>
      <w:pPr>
        <w:ind w:left="614" w:right="14" w:firstLine="380"/>
        <w:spacing w:before="7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对于体型较为肥胖的受检者来说，阴道超声无需经过腹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部脂肪组织，可使图像更为清晰，对于受检者盆腔内微小的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包块或积液，也可直观、清晰地显示，  因此，阴道超声相对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于常规腹部超声来说，诊断准确性更高。但阴道超声检查也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有一定的局限性，虽说超声检查探头分辨率较高，但检测深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度较低，如受检者盆腔内病灶组织体积较大，或位置偏高，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阴道超声往往无法显示病灶组织全貌。且阴道超声检查需要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将探头置入阴道内进行检查，因此处女禁用，且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患有阴道炎、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盆腔炎或处于生理期的受检者，也应避免采用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阴道超声检查。</w:t>
      </w:r>
    </w:p>
    <w:p>
      <w:pPr>
        <w:pStyle w:val="BodyText"/>
        <w:ind w:left="615" w:right="28" w:firstLine="385"/>
        <w:spacing w:before="12" w:line="235" w:lineRule="auto"/>
        <w:tabs>
          <w:tab w:val="left" w:pos="5642"/>
        </w:tabs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为进一步保障妇产科急腹症患者的诊断准确性，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临床中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往往给予其经腹部超声联合阴道超声检查，经腹部超声联合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阴道超声检查，这两种检查方式可以更好地取长补短，从而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降低误诊、漏诊事件的发生，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以保障患者总体治疗效果。在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联合超声检测中，异位妊娠患者的子宫出现轻度的增大，在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子宫内部没有孕囊，附件区具有包块，异位妊娠大多数为输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卵管妊娠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sz w:val="11"/>
          <w:szCs w:val="11"/>
          <w:spacing w:val="2"/>
          <w:position w:val="6"/>
        </w:rPr>
        <w:t>[10]</w:t>
      </w:r>
      <w:r>
        <w:rPr>
          <w:sz w:val="11"/>
          <w:szCs w:val="11"/>
          <w:spacing w:val="-6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。急性盆腔炎患者的子宫两侧以及子宫的直肠</w:t>
      </w:r>
      <w:r>
        <w:rPr>
          <w:rFonts w:ascii="Microsoft YaHei" w:hAnsi="Microsoft YaHei" w:eastAsia="Microsoft YaHei" w:cs="Microsoft YaHei"/>
          <w:sz w:val="19"/>
          <w:szCs w:val="19"/>
        </w:rPr>
        <w:tab/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窝中存在多个或者一个不规则的低声或者无回声区域，子宫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发生轻度的增大，并且边界模糊，子宫肌壁的回声存在不均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匀的情况，在盆腔游离液中存在片状回声，并且具有密集的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细小点。卵巢黄体囊肿破裂的患者检测中一侧的卵巢发生囊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性的增大，并且会出现絮状或者云雾状的回声，呈现皱缩状，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边界模糊。</w:t>
      </w:r>
    </w:p>
    <w:p>
      <w:pPr>
        <w:ind w:left="997"/>
        <w:spacing w:before="1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在本文中，对照组与观察组患者分别采用了经腹部超声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27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检查与经腹部超声联合阴道超声检查，结果表明，对照组中，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2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例为异位妊娠，有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例出现漏诊；有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11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例出现卵巢黄体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囊肿破裂，有 </w:t>
      </w:r>
      <w:r>
        <w:rPr>
          <w:sz w:val="19"/>
          <w:szCs w:val="19"/>
          <w:spacing w:val="1"/>
        </w:rPr>
        <w:t>1</w:t>
      </w:r>
      <w:r>
        <w:rPr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例漏诊，有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例误诊；有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5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例为卵巢囊肿蒂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扭转，有 </w:t>
      </w:r>
      <w:r>
        <w:rPr>
          <w:sz w:val="19"/>
          <w:szCs w:val="19"/>
          <w:spacing w:val="-2"/>
        </w:rPr>
        <w:t>1</w:t>
      </w:r>
      <w:r>
        <w:rPr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例漏诊，有 </w:t>
      </w:r>
      <w:r>
        <w:rPr>
          <w:sz w:val="19"/>
          <w:szCs w:val="19"/>
          <w:spacing w:val="-2"/>
        </w:rPr>
        <w:t>1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例出现误诊。有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5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例为输卵管扭转，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有 </w:t>
      </w:r>
      <w:r>
        <w:rPr>
          <w:sz w:val="19"/>
          <w:szCs w:val="19"/>
          <w:spacing w:val="-4"/>
        </w:rPr>
        <w:t>1</w:t>
      </w:r>
      <w:r>
        <w:rPr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例漏诊。有 </w:t>
      </w:r>
      <w:r>
        <w:rPr>
          <w:sz w:val="19"/>
          <w:szCs w:val="19"/>
          <w:spacing w:val="-4"/>
        </w:rPr>
        <w:t>12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例为急性盆腔炎，有 </w:t>
      </w:r>
      <w:r>
        <w:rPr>
          <w:sz w:val="19"/>
          <w:szCs w:val="19"/>
          <w:spacing w:val="-4"/>
        </w:rPr>
        <w:t>1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例漏诊，有 </w:t>
      </w:r>
      <w:r>
        <w:rPr>
          <w:sz w:val="19"/>
          <w:szCs w:val="19"/>
          <w:spacing w:val="-5"/>
        </w:rPr>
        <w:t>1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例误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诊。有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2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例为子宫穿孔，有 </w:t>
      </w:r>
      <w:r>
        <w:rPr>
          <w:sz w:val="19"/>
          <w:szCs w:val="19"/>
          <w:spacing w:val="-6"/>
        </w:rPr>
        <w:t>1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例漏诊。观察组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中，有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7"/>
        </w:rPr>
        <w:t>3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例为异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位妊娠，有 </w:t>
      </w:r>
      <w:r>
        <w:rPr>
          <w:sz w:val="19"/>
          <w:szCs w:val="19"/>
          <w:spacing w:val="-3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例漏诊；有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12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例为卵巢黄体囊肿破裂，有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1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误诊；有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2"/>
        </w:rPr>
        <w:t>6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例为卵巢囊肿蒂扭转，有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6</w:t>
      </w:r>
      <w:r>
        <w:rPr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例为输卵管扭转，有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sz w:val="19"/>
          <w:szCs w:val="19"/>
          <w:spacing w:val="-3"/>
        </w:rPr>
        <w:t>12</w:t>
      </w:r>
      <w:r>
        <w:rPr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例为急性盆腔炎，有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3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例为子宫穿孔。观察组患者漏诊率、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误诊率均明显低于对照组患者，差异显著（</w:t>
      </w:r>
      <w:r>
        <w:rPr>
          <w:sz w:val="19"/>
          <w:szCs w:val="19"/>
          <w:i/>
          <w:iCs/>
          <w:spacing w:val="-2"/>
        </w:rPr>
        <w:t>P</w:t>
      </w:r>
      <w:r>
        <w:rPr>
          <w:sz w:val="19"/>
          <w:szCs w:val="19"/>
          <w:spacing w:val="-2"/>
        </w:rPr>
        <w:t>&lt;0.0</w:t>
      </w:r>
      <w:r>
        <w:rPr>
          <w:sz w:val="19"/>
          <w:szCs w:val="19"/>
          <w:spacing w:val="-3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）。这足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以说明，经腹部超声联合阴道超声检查具有显著的临床意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义，因此，对于疑似妇产科急腹症患者来说，临床中可给予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其经腹部超声联合阴道超声进行检查。</w:t>
      </w:r>
    </w:p>
    <w:p>
      <w:pPr>
        <w:pStyle w:val="BodyText"/>
        <w:ind w:firstLine="397"/>
        <w:spacing w:before="9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已有研究表明，笔者将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159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例已确诊的妇产科急腹症患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者作为研究对象，并对其进行经腹部超声检查，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检查完毕后，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再次给予阴道超声检查。其结果显示，经腹部超声检查诊断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符合率为</w:t>
      </w:r>
      <w:r>
        <w:rPr>
          <w:sz w:val="19"/>
          <w:szCs w:val="19"/>
          <w:spacing w:val="-3"/>
        </w:rPr>
        <w:t>76.73%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，经腹部超声联合阴道超声检查诊断符合率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为</w:t>
      </w:r>
      <w:r>
        <w:rPr>
          <w:sz w:val="19"/>
          <w:szCs w:val="19"/>
          <w:spacing w:val="-3"/>
        </w:rPr>
        <w:t>93.08%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，经腹部超声联合阴道超声检查诊断符合率明显高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于经腹部超声检查（</w:t>
      </w:r>
      <w:r>
        <w:rPr>
          <w:sz w:val="19"/>
          <w:szCs w:val="19"/>
          <w:i/>
          <w:iCs/>
          <w:spacing w:val="-2"/>
        </w:rPr>
        <w:t>P</w:t>
      </w:r>
      <w:r>
        <w:rPr>
          <w:sz w:val="19"/>
          <w:szCs w:val="19"/>
          <w:spacing w:val="-2"/>
        </w:rPr>
        <w:t>&lt;0.05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）。由此可见，经腹部超声联合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阴道超声检查可进一步提高疑似妇产科急腹症患者的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诊断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准确性，且此种检查方式具有操作方便、无创、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检查速度快、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费用低廉等优点，可将经腹部超声联合阴道超声检查作为临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床中疑似妇产科急腹症患者的首选检查方式。其研究结果与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本文相似，有力证明了经腹部超声联合阴道超声检查诊断符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合率较高，可有效防止出现漏诊、误诊事件的发生，</w:t>
      </w:r>
      <w:r>
        <w:rPr>
          <w:rFonts w:ascii="Microsoft YaHei" w:hAnsi="Microsoft YaHei" w:eastAsia="Microsoft YaHei" w:cs="Microsoft YaHei"/>
          <w:sz w:val="19"/>
          <w:szCs w:val="19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从而为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患者后续临床治疗工作奠定基础，并提升其总体治疗效果。</w:t>
      </w:r>
    </w:p>
    <w:p>
      <w:pPr>
        <w:ind w:right="171" w:firstLine="379"/>
        <w:spacing w:before="4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综上所述，应用超声联合阴道超声检查，可最大程度降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低妇产科急腹症患者的漏诊率、误诊率， 从而进一步提升总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体诊断准确率及治疗效果，因此，对于疑似妇产科急腹症患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者，临床中可给予其经腹部超声联合阴道超声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检查。</w:t>
      </w:r>
    </w:p>
    <w:p>
      <w:pPr>
        <w:spacing w:line="235" w:lineRule="auto"/>
        <w:sectPr>
          <w:type w:val="continuous"/>
          <w:pgSz w:w="11906" w:h="16158"/>
          <w:pgMar w:top="1191" w:right="679" w:bottom="0" w:left="407" w:header="0" w:footer="0" w:gutter="0"/>
          <w:cols w:equalWidth="0" w:num="2">
            <w:col w:w="5674" w:space="100"/>
            <w:col w:w="504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firstLine="612"/>
        <w:spacing w:line="3458" w:lineRule="exact"/>
        <w:rPr/>
      </w:pPr>
      <w:r>
        <w:rPr>
          <w:position w:val="-69"/>
        </w:rPr>
        <w:pict>
          <v:group id="_x0000_s18" style="mso-position-vertical-relative:line;mso-position-horizontal-relative:char;width:502pt;height:172.95pt;" filled="false" stroked="false" coordsize="10040,3458" coordorigin="0,0">
            <v:rect id="_x0000_s20" style="position:absolute;left:0;top:0;width:10040;height:3458;" fillcolor="#EDF0F2" filled="true" stroked="false"/>
            <v:shape id="_x0000_s22" style="position:absolute;left:39;top:49;width:9967;height:27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color w:val="00A0E9"/>
                        <w:spacing w:val="19"/>
                      </w:rPr>
                      <w:t>参考文献</w:t>
                    </w:r>
                  </w:p>
                  <w:p>
                    <w:pPr>
                      <w:ind w:left="29"/>
                      <w:spacing w:before="89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龙璨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常哲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周诚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腹部超声联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合阴道超声诊断在妇产科急腹症中的应用价值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现代医药卫生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,2017,33(24):3772-3773.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[2]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林国玲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腹部及阴道超声联合应用在妇产科急腹症中的诊断价值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医学理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论与实践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,2018,31(22):3420-3422.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[3]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姜咏华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经阴道联合腹部超声检查在妇产科急腹症中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的临床应用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现代实用医学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,2017,29(11):1421-1422.</w:t>
                    </w:r>
                  </w:p>
                  <w:p>
                    <w:pPr>
                      <w:ind w:left="361" w:right="22" w:hanging="332"/>
                      <w:spacing w:before="45" w:line="25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[4]     TUNCER,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AHMET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ALI, TANIS, et al.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 Clinical Case 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Acute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Abdomen Caused b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y a Pinworm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Appendix: Ultrasound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Case Report[J].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Current medical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imag-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ing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reviews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,2018,14(6):1017-1019.</w:t>
                    </w:r>
                  </w:p>
                  <w:p>
                    <w:pPr>
                      <w:ind w:left="29"/>
                      <w:spacing w:before="58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[5]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李轼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李爱梅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经腹部及阴道超声联合应用在妇产科急腹症中的诊断价值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世界最新医学信息文摘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连续型电子期刊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,2017,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17(47):50.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[6]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刘娜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经阴道与经腹部超声在妇产科急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腹症中的临床价值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黑龙江医学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,2017,41(1):63-64.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[7]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李婧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经腹部超声联合阴道超声在妇产科急腹症诊断中的应用价值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中国保健营养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020,30(2):127.</w:t>
                    </w:r>
                  </w:p>
                  <w:p>
                    <w:pPr>
                      <w:ind w:left="362" w:right="20" w:hanging="333"/>
                      <w:spacing w:before="46" w:line="259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[8]     DONNA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NAPIER.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Splenic artery aneurysm rupture in the pregnant patient: The importance 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utilising ultrasound to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diﬀerentiate the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acute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abdomen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obstetric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ca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uses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abdominal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pain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[J].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Sonography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>,2019,6(3):122-129.</w:t>
                    </w:r>
                  </w:p>
                  <w:p>
                    <w:pPr>
                      <w:ind w:left="29"/>
                      <w:spacing w:before="59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[9]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陈亚南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经腹部超声联合阴道超声在妇产科急腹症诊断中的临床比较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影像研究与医学应用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20,4(11):135-136.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[10]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刘霞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张林松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杨世艳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经腹部超声联合阴道超声在妇产科急腹症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诊断中有重要意义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心理医生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,2019,25(1):77-78.</w:t>
                    </w:r>
                  </w:p>
                </w:txbxContent>
              </v:textbox>
            </v:shape>
            <v:group id="_x0000_s24" style="position:absolute;left:56;top:353;width:9927;height:10;" filled="false" stroked="false" coordsize="9927,10" coordorigin="0,0">
              <v:shape id="_x0000_s26" style="position:absolute;left:19;top:0;width:9897;height:10;" filled="false" strokecolor="#00A0E9" strokeweight="0.50pt" coordsize="9897,10" coordorigin="0,0" path="m5,5l9891,5e">
                <v:stroke dashstyle="dash" endcap="round" miterlimit="10"/>
              </v:shape>
              <v:shape id="_x0000_s28" style="position:absolute;left:0;top:0;width:9927;height:10;" filled="false" strokecolor="#00A0E9" strokeweight="0.50pt" coordsize="9927,10" coordorigin="0,0" path="m5,5l5,5m9921,5l9921,5e">
                <v:stroke endcap="round" miterlimit="10"/>
              </v:shape>
            </v:group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819"/>
        <w:spacing w:before="61" w:line="177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6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1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</w:rPr>
        <w:t>中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</w:rPr>
        <w:t>国医疗器械信息  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</w:rPr>
        <w:t>91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1"/>
        </w:rPr>
        <w:t>.</w:t>
      </w:r>
    </w:p>
    <w:sectPr>
      <w:type w:val="continuous"/>
      <w:pgSz w:w="11906" w:h="16158"/>
      <w:pgMar w:top="1191" w:right="679" w:bottom="0" w:left="407" w:header="0" w:footer="0" w:gutter="0"/>
      <w:cols w:equalWidth="0" w:num="1">
        <w:col w:w="1081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">
    <w:panose1 w:val="020405030504060A0204"/>
    <w:charset w:val="00"/>
    <w:family w:val="auto"/>
    <w:pitch w:val="variable"/>
    <w:sig w:usb0="E00006FF" w:usb1="4000045F" w:usb2="0000000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8" w:lineRule="auto"/>
      <w:rPr>
        <w:rFonts w:ascii="Arial"/>
        <w:sz w:val="21"/>
      </w:rPr>
    </w:pPr>
    <w:r>
      <w:pict>
        <v:shape id="WordPictureWatermark16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7016825</wp:posOffset>
          </wp:positionH>
          <wp:positionV relativeFrom="page">
            <wp:posOffset>0</wp:posOffset>
          </wp:positionV>
          <wp:extent cx="6350" cy="7200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50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spacing w:line="299" w:lineRule="auto"/>
      <w:rPr>
        <w:rFonts w:ascii="Arial"/>
        <w:sz w:val="21"/>
      </w:rPr>
    </w:pPr>
    <w:r/>
  </w:p>
  <w:p>
    <w:pPr>
      <w:ind w:left="9162"/>
      <w:spacing w:before="103" w:line="167" w:lineRule="auto"/>
      <w:rPr>
        <w:rFonts w:ascii="Microsoft YaHei" w:hAnsi="Microsoft YaHei" w:eastAsia="Microsoft YaHei" w:cs="Microsoft YaHei"/>
        <w:sz w:val="24"/>
        <w:szCs w:val="24"/>
      </w:rPr>
    </w:pPr>
    <w:r>
      <w:rPr>
        <w:rFonts w:ascii="Microsoft YaHei" w:hAnsi="Microsoft YaHei" w:eastAsia="Microsoft YaHei" w:cs="Microsoft YaHei"/>
        <w:sz w:val="24"/>
        <w:szCs w:val="24"/>
        <w:b/>
        <w:bCs/>
        <w:spacing w:val="-2"/>
      </w:rPr>
      <w:t>临床应用研究</w:t>
    </w:r>
  </w:p>
  <w:p>
    <w:pPr>
      <w:pStyle w:val="BodyText"/>
      <w:ind w:left="8793"/>
      <w:spacing w:line="204" w:lineRule="auto"/>
      <w:rPr>
        <w:sz w:val="16"/>
        <w:szCs w:val="16"/>
      </w:rPr>
    </w:pPr>
    <w:r>
      <w:rPr>
        <w:sz w:val="16"/>
        <w:szCs w:val="16"/>
        <w:color w:val="00A0E9"/>
        <w:spacing w:val="-5"/>
      </w:rPr>
      <w:t>Clinical Application Research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3.xml"/><Relationship Id="rId5" Type="http://schemas.openxmlformats.org/officeDocument/2006/relationships/image" Target="media/image5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2024-05-27T09:46:58Z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2025-10-28T21:33:26</vt:filetime>
  </property>
</Properties>
</file>