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43"/>
        <w:spacing w:before="226" w:line="201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6" style="position:absolute;margin-left:35.5011pt;margin-top:1.42686pt;mso-position-vertical-relative:text;mso-position-horizontal-relative:text;width:481.9pt;height:0.35pt;z-index:251658240;" filled="false" strokecolor="#231F20" strokeweight="0.30pt" coordsize="9637,6" coordorigin="0,0" path="m0,3l9637,3e">
            <v:stroke joinstyle="miter" miterlimit="4"/>
          </v:shape>
        </w:pict>
      </w:r>
      <w:r>
        <w:rPr>
          <w:rFonts w:ascii="SimSun" w:hAnsi="SimSun" w:eastAsia="SimSun" w:cs="SimSun"/>
          <w:sz w:val="24"/>
          <w:szCs w:val="24"/>
          <w:color w:val="231F20"/>
          <w:spacing w:val="10"/>
        </w:rPr>
        <w:t>揖检验</w:t>
      </w:r>
      <w:r>
        <w:rPr>
          <w:sz w:val="24"/>
          <w:szCs w:val="24"/>
          <w:color w:val="231F20"/>
          <w:spacing w:val="10"/>
        </w:rPr>
        <w:t>与影像</w:t>
      </w:r>
      <w:r>
        <w:rPr>
          <w:rFonts w:ascii="SimSun" w:hAnsi="SimSun" w:eastAsia="SimSun" w:cs="SimSun"/>
          <w:sz w:val="24"/>
          <w:szCs w:val="24"/>
          <w:color w:val="231F20"/>
          <w:spacing w:val="10"/>
        </w:rPr>
        <w:t>铱</w:t>
      </w:r>
    </w:p>
    <w:p>
      <w:pPr>
        <w:pStyle w:val="BodyText"/>
        <w:ind w:left="737"/>
        <w:spacing w:before="325" w:line="200" w:lineRule="auto"/>
        <w:rPr>
          <w:sz w:val="34"/>
          <w:szCs w:val="34"/>
        </w:rPr>
      </w:pPr>
      <w:r>
        <w:rPr>
          <w:sz w:val="34"/>
          <w:szCs w:val="34"/>
          <w:color w:val="231F20"/>
          <w:spacing w:val="77"/>
        </w:rPr>
        <w:t>经阴道彩超与经腹部彩超在卵巢囊肿蒂扭转诊断中的</w:t>
      </w:r>
    </w:p>
    <w:p>
      <w:pPr>
        <w:pStyle w:val="BodyText"/>
        <w:ind w:left="4715"/>
        <w:spacing w:before="33" w:line="201" w:lineRule="auto"/>
        <w:rPr>
          <w:sz w:val="34"/>
          <w:szCs w:val="34"/>
        </w:rPr>
      </w:pPr>
      <w:r>
        <w:rPr>
          <w:sz w:val="34"/>
          <w:szCs w:val="34"/>
          <w:color w:val="231F20"/>
          <w:spacing w:val="68"/>
        </w:rPr>
        <w:t>效能比较</w:t>
      </w:r>
    </w:p>
    <w:p>
      <w:pPr>
        <w:ind w:left="5234"/>
        <w:spacing w:before="155" w:line="2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张留英</w:t>
      </w:r>
    </w:p>
    <w:p>
      <w:pPr>
        <w:pStyle w:val="BodyText"/>
        <w:ind w:left="3761"/>
        <w:spacing w:before="47" w:line="19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（宁陵县人民医院超声科，河南</w:t>
      </w:r>
      <w:r>
        <w:rPr>
          <w:sz w:val="16"/>
          <w:szCs w:val="16"/>
          <w:color w:val="231F20"/>
          <w:spacing w:val="14"/>
          <w:w w:val="101"/>
        </w:rPr>
        <w:t xml:space="preserve">   </w:t>
      </w:r>
      <w:r>
        <w:rPr>
          <w:sz w:val="16"/>
          <w:szCs w:val="16"/>
          <w:color w:val="231F20"/>
          <w:spacing w:val="-3"/>
        </w:rPr>
        <w:t>宁陵   476700）</w:t>
      </w:r>
    </w:p>
    <w:p>
      <w:pPr>
        <w:pStyle w:val="BodyText"/>
        <w:ind w:left="710" w:right="5" w:firstLine="364"/>
        <w:spacing w:before="16" w:line="23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</w:rPr>
        <w:t>【摘要】    目的：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</w:rPr>
        <w:t>比较经阴道彩超与经腹部彩超在卵巢囊肿蒂扭转诊断中的效能。</w:t>
      </w:r>
      <w:r>
        <w:rPr>
          <w:sz w:val="16"/>
          <w:szCs w:val="16"/>
          <w:color w:val="231F20"/>
          <w:spacing w:val="-1"/>
        </w:rPr>
        <w:t>方法：选取 80 例疑似卵巢囊肿蒂扭转患者作为研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究对象，均行经阴道彩超与经腹部彩超检查，以手术结果为“金标准”，比较经阴道彩超</w:t>
      </w:r>
      <w:r>
        <w:rPr>
          <w:sz w:val="16"/>
          <w:szCs w:val="16"/>
          <w:color w:val="231F20"/>
          <w:spacing w:val="1"/>
        </w:rPr>
        <w:t>与经腹部彩超在卵巢囊肿蒂扭转诊断中的效能。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结果：手术结果为 80 例卵巢囊肿患者中，卵巢囊肿蒂扭转 62 例（77.50%</w:t>
      </w:r>
      <w:r>
        <w:rPr>
          <w:sz w:val="16"/>
          <w:szCs w:val="16"/>
          <w:color w:val="231F20"/>
          <w:spacing w:val="-1"/>
        </w:rPr>
        <w:t>）；</w:t>
      </w:r>
      <w:r>
        <w:rPr>
          <w:sz w:val="16"/>
          <w:szCs w:val="16"/>
          <w:color w:val="231F20"/>
          <w:spacing w:val="-2"/>
        </w:rPr>
        <w:t>以手术结果为“金标准”，经阴道彩超诊断卵巢囊肿蒂扭转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"/>
        </w:rPr>
        <w:t>的敏感度和准确度均高于经腹部彩超，差异有统计学意义（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>P</w:t>
      </w:r>
      <w:r>
        <w:rPr>
          <w:sz w:val="16"/>
          <w:szCs w:val="16"/>
          <w:color w:val="231F20"/>
          <w:spacing w:val="-1"/>
        </w:rPr>
        <w:t>&lt;0.05</w:t>
      </w:r>
      <w:r>
        <w:rPr>
          <w:sz w:val="16"/>
          <w:szCs w:val="16"/>
          <w:color w:val="231F20"/>
          <w:spacing w:val="-6"/>
        </w:rPr>
        <w:t>）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6"/>
        </w:rPr>
        <w:t>；</w:t>
      </w:r>
      <w:r>
        <w:rPr>
          <w:sz w:val="16"/>
          <w:szCs w:val="16"/>
          <w:color w:val="231F20"/>
          <w:spacing w:val="-1"/>
        </w:rPr>
        <w:t>经阴道彩超与经腹部彩超诊断卵巢囊肿蒂扭转的特异度比较，差异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2"/>
        </w:rPr>
        <w:t>无统计学意义（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P</w:t>
      </w:r>
      <w:r>
        <w:rPr>
          <w:sz w:val="16"/>
          <w:szCs w:val="16"/>
          <w:color w:val="231F20"/>
          <w:spacing w:val="-2"/>
        </w:rPr>
        <w:t>&gt;0.05）。结论：经阴道彩超诊断卵巢囊肿蒂扭转的准确度和敏感度高于经腹部彩超，两种诊断方式的特异度相当。</w:t>
      </w:r>
    </w:p>
    <w:p>
      <w:pPr>
        <w:pStyle w:val="BodyText"/>
        <w:ind w:left="1074"/>
        <w:spacing w:before="1" w:line="19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【关键词】</w:t>
      </w:r>
      <w:r>
        <w:rPr>
          <w:sz w:val="16"/>
          <w:szCs w:val="16"/>
          <w:color w:val="231F20"/>
          <w:spacing w:val="15"/>
        </w:rPr>
        <w:t xml:space="preserve">   </w:t>
      </w:r>
      <w:r>
        <w:rPr>
          <w:sz w:val="16"/>
          <w:szCs w:val="16"/>
          <w:color w:val="231F20"/>
          <w:spacing w:val="-2"/>
        </w:rPr>
        <w:t>卵巢囊肿蒂扭转；经阴道彩超；经腹部彩超；效能</w:t>
      </w:r>
    </w:p>
    <w:p>
      <w:pPr>
        <w:ind w:left="1054"/>
        <w:spacing w:before="7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doi:    10.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3969 /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issn.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1672-0369.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039</w:t>
      </w:r>
    </w:p>
    <w:p>
      <w:pPr>
        <w:pStyle w:val="BodyText"/>
        <w:ind w:left="1072"/>
        <w:spacing w:before="66" w:line="21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中图分类号：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  <w:spacing w:val="-5"/>
        </w:rPr>
        <w:t>R445.1          文献标识码：    B           文章编号：    1672-036</w:t>
      </w:r>
      <w:r>
        <w:rPr>
          <w:sz w:val="18"/>
          <w:szCs w:val="18"/>
          <w:color w:val="231F20"/>
          <w:spacing w:val="-6"/>
        </w:rPr>
        <w:t>9（2021）09-0099-02</w:t>
      </w:r>
    </w:p>
    <w:p>
      <w:pPr>
        <w:spacing w:before="206"/>
        <w:rPr/>
      </w:pPr>
      <w:r/>
    </w:p>
    <w:p>
      <w:pPr>
        <w:sectPr>
          <w:headerReference w:type="default" r:id="rId1"/>
          <w:footerReference w:type="default" r:id="rId2"/>
          <w:pgSz w:w="11906" w:h="16838"/>
          <w:pgMar w:top="1416" w:right="1065" w:bottom="1122" w:left="424" w:header="827" w:footer="911" w:gutter="0"/>
          <w:cols w:equalWidth="0" w:num="1">
            <w:col w:w="10417" w:space="0"/>
          </w:cols>
        </w:sectPr>
        <w:rPr/>
      </w:pPr>
    </w:p>
    <w:p>
      <w:pPr>
        <w:pStyle w:val="BodyText"/>
        <w:ind w:left="712" w:right="173" w:firstLine="432"/>
        <w:spacing w:before="54" w:line="212" w:lineRule="auto"/>
        <w:jc w:val="both"/>
        <w:rPr/>
      </w:pPr>
      <w:r>
        <w:rPr>
          <w:color w:val="231F20"/>
        </w:rPr>
        <w:t>卵巢囊肿蒂扭转是指供应卵巢囊肿的血管发生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了扭曲，使卵巢囊肿缺血，甚至坏死、破裂，属于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妇科急腹症之一，患者会出现剧烈腹痛。临床诊断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可依据患者的临床症状，如包块、腹部压痛等诊</w:t>
      </w:r>
      <w:r>
        <w:rPr>
          <w:color w:val="231F20"/>
          <w:spacing w:val="-6"/>
        </w:rPr>
        <w:t>断，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一般患者的临床症状逐渐加重时可考虑该疾病的可  </w:t>
      </w:r>
      <w:r>
        <w:rPr>
          <w:color w:val="231F20"/>
        </w:rPr>
        <w:t>能性，但由于阑尾炎、肠梗阻、盆腔脏器炎症等疾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病症状也与卵巢囊肿蒂扭转相似，诊断时易出现差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错，故需寻求有效的诊断方式 </w:t>
      </w:r>
      <w:r>
        <w:rPr>
          <w:sz w:val="12"/>
          <w:szCs w:val="12"/>
          <w:color w:val="231F20"/>
          <w:spacing w:val="-1"/>
          <w:position w:val="9"/>
        </w:rPr>
        <w:t>[1] </w:t>
      </w:r>
      <w:r>
        <w:rPr>
          <w:color w:val="231F20"/>
          <w:spacing w:val="-1"/>
        </w:rPr>
        <w:t>。彩超具有操作简</w:t>
      </w:r>
      <w:r>
        <w:rPr>
          <w:color w:val="231F20"/>
        </w:rPr>
        <w:t xml:space="preserve">  </w:t>
      </w:r>
      <w:r>
        <w:rPr>
          <w:color w:val="231F20"/>
        </w:rPr>
        <w:t>单、分辨率较高等优势，目前主要有经阴道彩超和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经腹部彩超两种方式 </w:t>
      </w:r>
      <w:r>
        <w:rPr>
          <w:sz w:val="12"/>
          <w:szCs w:val="12"/>
          <w:color w:val="231F20"/>
          <w:spacing w:val="-1"/>
          <w:position w:val="9"/>
        </w:rPr>
        <w:t>[2]</w:t>
      </w:r>
      <w:r>
        <w:rPr>
          <w:sz w:val="12"/>
          <w:szCs w:val="12"/>
          <w:color w:val="231F20"/>
          <w:spacing w:val="4"/>
          <w:position w:val="9"/>
        </w:rPr>
        <w:t xml:space="preserve"> </w:t>
      </w:r>
      <w:r>
        <w:rPr>
          <w:color w:val="231F20"/>
          <w:spacing w:val="-1"/>
        </w:rPr>
        <w:t>。本文比较经阴道彩超与经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腹部彩超在卵巢囊肿蒂扭转诊断中的效能。</w:t>
      </w:r>
    </w:p>
    <w:p>
      <w:pPr>
        <w:pStyle w:val="BodyText"/>
        <w:ind w:left="730"/>
        <w:spacing w:before="1" w:line="219" w:lineRule="auto"/>
        <w:rPr/>
      </w:pPr>
      <w:r>
        <w:rPr>
          <w:color w:val="231F20"/>
          <w:spacing w:val="-7"/>
        </w:rPr>
        <w:t>1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7"/>
        </w:rPr>
        <w:t>资料与方法</w:t>
      </w:r>
    </w:p>
    <w:p>
      <w:pPr>
        <w:pStyle w:val="BodyText"/>
        <w:ind w:left="712" w:right="173" w:firstLine="13"/>
        <w:spacing w:before="15" w:line="211" w:lineRule="auto"/>
        <w:rPr/>
      </w:pPr>
      <w:r>
        <w:rPr>
          <w:color w:val="231F20"/>
          <w:spacing w:val="-6"/>
        </w:rPr>
        <w:t>1.1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-6"/>
        </w:rPr>
        <w:t>一般资料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-6"/>
        </w:rPr>
        <w:t>选取 2017 年 6 月至 2020 年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6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月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本院收治的 80 例疑似卵巢囊肿蒂扭转患者作为研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究对象。纳入标准：既往存在卵巢囊肿史，</w:t>
      </w:r>
      <w:r>
        <w:rPr>
          <w:color w:val="231F20"/>
        </w:rPr>
        <w:t>下腹部  </w:t>
      </w:r>
      <w:r>
        <w:rPr>
          <w:color w:val="231F20"/>
        </w:rPr>
        <w:t>疼痛，触痛阳性，部分患者有呕吐症状，少部分患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者可表现为脱水、休克，大部分患者可触及包块，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部分患者伴阴道少量出血，且持续性腹痛 &gt;9 h；月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经规律，尿检人绒毛膜促性腺激素为阴性；有性生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活史。排除标准：合并其他明确的急性期感染疾病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者；盆腔积液者。患者对本研究内容了解并自愿签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署知情同意书，且研究经本院伦理委员会批准 [ 批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5"/>
        </w:rPr>
        <w:t>准文号：2017 年审（105）号 ]。其中年龄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5"/>
        </w:rPr>
        <w:t>21~53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5"/>
        </w:rPr>
        <w:t>岁，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平均（32.26±2.63）岁；已婚 42 例，未婚 38 例。</w:t>
      </w:r>
    </w:p>
    <w:p>
      <w:pPr>
        <w:pStyle w:val="BodyText"/>
        <w:ind w:left="725"/>
        <w:spacing w:before="26" w:line="200" w:lineRule="auto"/>
        <w:rPr/>
      </w:pPr>
      <w:r>
        <w:rPr>
          <w:color w:val="231F20"/>
          <w:spacing w:val="4"/>
        </w:rPr>
        <w:t>1.2   方法    患者入组后均行彩超检查，仪</w:t>
      </w:r>
      <w:r>
        <w:rPr>
          <w:color w:val="231F20"/>
          <w:spacing w:val="3"/>
        </w:rPr>
        <w:t>器为彩</w:t>
      </w:r>
    </w:p>
    <w:p>
      <w:pPr>
        <w:spacing w:line="282" w:lineRule="auto"/>
        <w:rPr>
          <w:rFonts w:ascii="Arial"/>
          <w:sz w:val="21"/>
        </w:rPr>
      </w:pPr>
      <w:r>
        <w:pict>
          <v:shape id="_x0000_s8" style="position:absolute;margin-left:35.5929pt;margin-top:11.1943pt;mso-position-vertical-relative:text;mso-position-horizontal-relative:text;width:120.45pt;height:0.2pt;z-index:251659264;" filled="false" strokecolor="#231F20" strokeweight="0.20pt" coordsize="2408,4" coordorigin="0,0" path="m0,1l2408,1e">
            <v:stroke joinstyle="miter" miterlimit="4"/>
          </v:shape>
        </w:pict>
      </w:r>
      <w:r/>
    </w:p>
    <w:p>
      <w:pPr>
        <w:pStyle w:val="BodyText"/>
        <w:ind w:left="717" w:right="311" w:firstLine="1"/>
        <w:spacing w:before="69" w:line="17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作者简介：张留英（1975.10-</w:t>
      </w:r>
      <w:r>
        <w:rPr>
          <w:sz w:val="16"/>
          <w:szCs w:val="16"/>
          <w:color w:val="231F20"/>
          <w:spacing w:val="-2"/>
        </w:rPr>
        <w:t>），</w:t>
      </w:r>
      <w:r>
        <w:rPr>
          <w:sz w:val="16"/>
          <w:szCs w:val="16"/>
          <w:color w:val="231F20"/>
          <w:spacing w:val="-3"/>
        </w:rPr>
        <w:t>女，汉族，河南宁</w:t>
      </w:r>
      <w:r>
        <w:rPr>
          <w:sz w:val="16"/>
          <w:szCs w:val="16"/>
          <w:color w:val="231F20"/>
          <w:spacing w:val="-4"/>
        </w:rPr>
        <w:t>陵人，本科，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2"/>
        </w:rPr>
        <w:t>副主任技师，研究方向：临床超声医学。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49" w:line="213" w:lineRule="auto"/>
        <w:jc w:val="both"/>
        <w:rPr/>
      </w:pPr>
      <w:r>
        <w:rPr>
          <w:color w:val="231F20"/>
        </w:rPr>
        <w:t>色多普勒超声诊断仪（百科医疗有限公司，国械注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进 20203060196，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型号 2300）。（1）经阴道彩超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检查：检查前嘱患者排空膀胱，取膀胱截石位，探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头频率设置为 5.0~9.0 MHz，扇扩角度 120°。</w:t>
      </w:r>
      <w:r>
        <w:rPr>
          <w:color w:val="231F20"/>
          <w:spacing w:val="-6"/>
        </w:rPr>
        <w:t>在探</w:t>
      </w:r>
      <w:r>
        <w:rPr>
          <w:color w:val="231F20"/>
        </w:rPr>
        <w:t xml:space="preserve">  </w:t>
      </w:r>
      <w:r>
        <w:rPr>
          <w:color w:val="231F20"/>
        </w:rPr>
        <w:t>头顶端涂少许耦合剂，并戴上安全套，安全套外涂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少许耦合剂。分开患者的双腿，将探头置入阴道，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紧贴宫颈及穹隆检查，观察包块形状、大小、边界</w:t>
      </w:r>
      <w:r>
        <w:rPr>
          <w:color w:val="231F20"/>
        </w:rPr>
        <w:t xml:space="preserve">  </w:t>
      </w:r>
      <w:r>
        <w:rPr>
          <w:color w:val="231F20"/>
        </w:rPr>
        <w:t>及与子宫的关系等，观察是否有扭转蒂部，若有扭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转观察扭转蒂形态与包块的关系。调整为彩色多普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勒血流显像，观察包块周边、内部血流情况及扭转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蒂部的血流情况。（2）经腹部彩超检查：患者空  </w:t>
      </w:r>
      <w:r>
        <w:rPr>
          <w:color w:val="231F20"/>
          <w:spacing w:val="-5"/>
        </w:rPr>
        <w:t>腹 8~12 h，适度充盈膀胱，取仰卧位。探头频率设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置为 2.5~3.5 MHz，对患者的宫腔进行多方位扫描，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查看囊肿边界、形态等；同时注意是否有扭转，并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记录血管的血流分布情况。所有患者均行手术治</w:t>
      </w:r>
      <w:r>
        <w:rPr>
          <w:color w:val="231F20"/>
          <w:spacing w:val="-6"/>
        </w:rPr>
        <w:t>疗，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在手术直视下判断是否发生卵巢囊肿蒂扭转。</w:t>
      </w:r>
    </w:p>
    <w:p>
      <w:pPr>
        <w:pStyle w:val="BodyText"/>
        <w:ind w:firstLine="13"/>
        <w:spacing w:before="9" w:line="210" w:lineRule="auto"/>
        <w:rPr/>
      </w:pPr>
      <w:r>
        <w:rPr>
          <w:color w:val="231F20"/>
          <w:spacing w:val="6"/>
        </w:rPr>
        <w:t>1.3   诊断标准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6"/>
        </w:rPr>
        <w:t>单纯无回声肿块或以无回声为主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的混合性回声肿块或实性肿块，肿块多位于一侧中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腹部或下腹部；囊壁水肿增厚，肿块内部透声度差，</w:t>
      </w:r>
      <w:r>
        <w:rPr>
          <w:color w:val="231F20"/>
        </w:rPr>
        <w:t xml:space="preserve"> </w:t>
      </w:r>
      <w:r>
        <w:rPr>
          <w:color w:val="231F20"/>
        </w:rPr>
        <w:t>出现斑点状、团块状回声；囊肿根部阴道探头触痛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试验阳性；扭转血管蒂呈“绳索”状或“麻花”状，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无血流信号，或可探及动脉或动静脉血流频谱。</w:t>
      </w:r>
    </w:p>
    <w:p>
      <w:pPr>
        <w:pStyle w:val="BodyText"/>
        <w:ind w:left="1" w:right="75" w:firstLine="12"/>
        <w:spacing w:before="18" w:line="209" w:lineRule="auto"/>
        <w:rPr/>
      </w:pPr>
      <w:r>
        <w:rPr>
          <w:color w:val="231F20"/>
          <w:spacing w:val="5"/>
        </w:rPr>
        <w:t>1.4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5"/>
        </w:rPr>
        <w:t>观察指标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5"/>
        </w:rPr>
        <w:t>（1）手术结果。（2）以手术结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果为“金标准”，比较经腹部彩超与经阴道彩超诊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断卵巢囊肿蒂扭转的效能。</w:t>
      </w:r>
    </w:p>
    <w:p>
      <w:pPr>
        <w:pStyle w:val="BodyText"/>
        <w:ind w:left="4" w:right="68" w:firstLine="9"/>
        <w:spacing w:before="18" w:line="202" w:lineRule="auto"/>
        <w:rPr/>
      </w:pPr>
      <w:r>
        <w:rPr>
          <w:color w:val="231F20"/>
          <w:spacing w:val="1"/>
        </w:rPr>
        <w:t>1.5</w:t>
      </w:r>
      <w:r>
        <w:rPr>
          <w:color w:val="231F20"/>
          <w:spacing w:val="21"/>
        </w:rPr>
        <w:t xml:space="preserve">   </w:t>
      </w:r>
      <w:r>
        <w:rPr>
          <w:color w:val="231F20"/>
          <w:spacing w:val="1"/>
        </w:rPr>
        <w:t>统计学方法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1"/>
        </w:rPr>
        <w:t>应用 </w:t>
      </w:r>
      <w:r>
        <w:rPr>
          <w:color w:val="231F20"/>
        </w:rPr>
        <w:t>SPSS</w:t>
      </w:r>
      <w:r>
        <w:rPr>
          <w:color w:val="231F20"/>
          <w:spacing w:val="1"/>
        </w:rPr>
        <w:t xml:space="preserve"> 23.0 软件进行统计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学分析，计数资料以率（%）表示，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8"/>
        </w:rPr>
        <w:t>采用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8"/>
        </w:rPr>
        <w:t>χ</w:t>
      </w:r>
      <w:r>
        <w:rPr>
          <w:sz w:val="12"/>
          <w:szCs w:val="12"/>
          <w:color w:val="231F20"/>
          <w:spacing w:val="8"/>
          <w:position w:val="9"/>
        </w:rPr>
        <w:t>2</w:t>
      </w:r>
      <w:r>
        <w:rPr>
          <w:sz w:val="12"/>
          <w:szCs w:val="12"/>
          <w:color w:val="231F20"/>
          <w:spacing w:val="26"/>
          <w:w w:val="102"/>
          <w:position w:val="9"/>
        </w:rPr>
        <w:t xml:space="preserve"> </w:t>
      </w:r>
      <w:r>
        <w:rPr>
          <w:color w:val="231F20"/>
          <w:spacing w:val="8"/>
        </w:rPr>
        <w:t>检验</w:t>
      </w:r>
    </w:p>
    <w:p>
      <w:pPr>
        <w:spacing w:line="202" w:lineRule="auto"/>
        <w:sectPr>
          <w:type w:val="continuous"/>
          <w:pgSz w:w="11906" w:h="16838"/>
          <w:pgMar w:top="1416" w:right="1065" w:bottom="1122" w:left="424" w:header="827" w:footer="911" w:gutter="0"/>
          <w:cols w:equalWidth="0" w:num="2">
            <w:col w:w="5601" w:space="100"/>
            <w:col w:w="4716" w:space="0"/>
          </w:cols>
        </w:sectPr>
        <w:rPr/>
      </w:pPr>
    </w:p>
    <w:p>
      <w:pPr>
        <w:spacing w:line="179" w:lineRule="exact"/>
        <w:rPr/>
      </w:pPr>
      <w:r/>
    </w:p>
    <w:p>
      <w:pPr>
        <w:spacing w:line="179" w:lineRule="exact"/>
        <w:sectPr>
          <w:headerReference w:type="default" r:id="rId3"/>
          <w:footerReference w:type="default" r:id="rId4"/>
          <w:pgSz w:w="11906" w:h="16838"/>
          <w:pgMar w:top="1411" w:right="1088" w:bottom="1107" w:left="424" w:header="827" w:footer="898" w:gutter="0"/>
          <w:cols w:equalWidth="0" w:num="1">
            <w:col w:w="10393" w:space="0"/>
          </w:cols>
        </w:sectPr>
        <w:rPr/>
      </w:pPr>
    </w:p>
    <w:p>
      <w:pPr>
        <w:pStyle w:val="BodyText"/>
        <w:ind w:left="717" w:right="231"/>
        <w:spacing w:before="47" w:line="209" w:lineRule="auto"/>
        <w:rPr/>
      </w:pPr>
      <w:r>
        <w:rPr>
          <w:color w:val="231F20"/>
          <w:spacing w:val="-3"/>
        </w:rPr>
        <w:t>或 Fisher 确切概率法，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以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&lt;0.</w:t>
      </w:r>
      <w:r>
        <w:rPr>
          <w:color w:val="231F20"/>
          <w:spacing w:val="-4"/>
        </w:rPr>
        <w:t>05 为差异有统计学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意义。</w:t>
      </w:r>
    </w:p>
    <w:p>
      <w:pPr>
        <w:pStyle w:val="BodyText"/>
        <w:ind w:left="719"/>
        <w:spacing w:before="1" w:line="220" w:lineRule="auto"/>
        <w:outlineLvl w:val="0"/>
        <w:rPr/>
      </w:pPr>
      <w:r>
        <w:rPr>
          <w:color w:val="231F20"/>
          <w:spacing w:val="-8"/>
        </w:rPr>
        <w:t>2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8"/>
        </w:rPr>
        <w:t>结果</w:t>
      </w:r>
    </w:p>
    <w:p>
      <w:pPr>
        <w:pStyle w:val="BodyText"/>
        <w:ind w:left="717" w:right="231"/>
        <w:spacing w:line="213" w:lineRule="auto"/>
        <w:jc w:val="both"/>
        <w:rPr/>
      </w:pPr>
      <w:r>
        <w:rPr>
          <w:color w:val="231F20"/>
        </w:rPr>
        <w:t>2.1   手术结果    80 例卵巢囊肿患者中，卵巢囊肿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蒂扭转 62 例（77.50%</w:t>
      </w:r>
      <w:r>
        <w:rPr>
          <w:color w:val="231F20"/>
          <w:spacing w:val="-12"/>
        </w:rPr>
        <w:t>）；</w:t>
      </w:r>
      <w:r>
        <w:rPr>
          <w:color w:val="231F20"/>
          <w:spacing w:val="-6"/>
        </w:rPr>
        <w:t>其他 18 例分别为阑尾炎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6 例，肠扭转 9 例，肠套叠 3 例。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3" w:firstLine="16"/>
        <w:spacing w:before="46" w:line="213" w:lineRule="auto"/>
        <w:jc w:val="both"/>
        <w:rPr/>
      </w:pPr>
      <w:r>
        <w:rPr>
          <w:color w:val="231F20"/>
          <w:spacing w:val="6"/>
        </w:rPr>
        <w:t>2.2   经腹部彩超与经阴道彩超诊断卵巢囊肿蒂扭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转的效能比较   经阴道彩超诊断卵巢囊肿蒂扭转的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敏感度和准确度均高于经腹部彩超，差异有统计学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意义（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6"/>
        </w:rPr>
        <w:t>P</w:t>
      </w:r>
      <w:r>
        <w:rPr>
          <w:color w:val="231F20"/>
          <w:spacing w:val="-6"/>
        </w:rPr>
        <w:t>&lt;0.05</w:t>
      </w:r>
      <w:r>
        <w:rPr>
          <w:color w:val="231F20"/>
          <w:spacing w:val="5"/>
        </w:rPr>
        <w:t>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；</w:t>
      </w:r>
      <w:r>
        <w:rPr>
          <w:color w:val="231F20"/>
          <w:spacing w:val="-6"/>
        </w:rPr>
        <w:t>经腹部彩超和经阴道彩超诊断卵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巢囊肿蒂扭转的特异度比较，差异无统计学意义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（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0"/>
        </w:rPr>
        <w:t>P</w:t>
      </w:r>
      <w:r>
        <w:rPr>
          <w:color w:val="231F20"/>
          <w:spacing w:val="-10"/>
        </w:rPr>
        <w:t>&gt;0.05）。见表 1。</w:t>
      </w:r>
    </w:p>
    <w:p>
      <w:pPr>
        <w:spacing w:line="213" w:lineRule="auto"/>
        <w:sectPr>
          <w:type w:val="continuous"/>
          <w:pgSz w:w="11906" w:h="16838"/>
          <w:pgMar w:top="1411" w:right="1088" w:bottom="1107" w:left="424" w:header="827" w:footer="898" w:gutter="0"/>
          <w:cols w:equalWidth="0" w:num="2">
            <w:col w:w="5590" w:space="100"/>
            <w:col w:w="4703" w:space="0"/>
          </w:cols>
        </w:sectPr>
        <w:rPr/>
      </w:pPr>
    </w:p>
    <w:p>
      <w:pPr>
        <w:pStyle w:val="BodyText"/>
        <w:ind w:left="3033"/>
        <w:spacing w:before="214" w:line="180" w:lineRule="auto"/>
        <w:outlineLvl w:val="0"/>
        <w:rPr>
          <w:sz w:val="18"/>
          <w:szCs w:val="18"/>
        </w:rPr>
      </w:pPr>
      <w:r>
        <w:pict>
          <v:shape id="_x0000_s14" style="position:absolute;margin-left:35.6545pt;margin-top:-105.89pt;mso-position-vertical-relative:text;mso-position-horizontal-relative:text;width:481.9pt;height:0.35pt;z-index:251660288;" filled="false" strokecolor="#231F20" strokeweight="0.30pt" coordsize="9637,6" coordorigin="0,0" path="m0,3l9637,3e">
            <v:stroke joinstyle="miter" miterlimit="4"/>
          </v:shape>
        </w:pict>
      </w:r>
      <w:r>
        <w:rPr>
          <w:sz w:val="18"/>
          <w:szCs w:val="18"/>
          <w:color w:val="231F20"/>
        </w:rPr>
        <w:t>表 1   经腹部彩超与经阴道彩超诊断卵巢囊肿蒂扭转的效能</w:t>
      </w:r>
      <w:r>
        <w:rPr>
          <w:sz w:val="18"/>
          <w:szCs w:val="18"/>
          <w:color w:val="231F20"/>
          <w:spacing w:val="-1"/>
        </w:rPr>
        <w:t>比较</w:t>
      </w:r>
    </w:p>
    <w:p>
      <w:pPr>
        <w:spacing w:line="3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26"/>
        <w:gridCol w:w="904"/>
        <w:gridCol w:w="1290"/>
        <w:gridCol w:w="1379"/>
        <w:gridCol w:w="1545"/>
        <w:gridCol w:w="1429"/>
        <w:gridCol w:w="1464"/>
      </w:tblGrid>
      <w:tr>
        <w:trPr>
          <w:trHeight w:val="277" w:hRule="atLeast"/>
        </w:trPr>
        <w:tc>
          <w:tcPr>
            <w:tcW w:w="2530" w:type="dxa"/>
            <w:vAlign w:val="top"/>
            <w:gridSpan w:val="2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947"/>
              <w:spacing w:before="194" w:line="20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诊断方法</w:t>
            </w:r>
          </w:p>
        </w:tc>
        <w:tc>
          <w:tcPr>
            <w:tcW w:w="2669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973"/>
              <w:spacing w:before="53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病理结果</w:t>
            </w:r>
          </w:p>
        </w:tc>
        <w:tc>
          <w:tcPr>
            <w:tcW w:w="4438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536"/>
              <w:spacing w:before="53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诊断效能 [%（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5"/>
              </w:rPr>
              <w:t>n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-5"/>
                <w:position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/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5"/>
              </w:rPr>
              <w:t>n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-5"/>
                <w:position w:val="-2"/>
              </w:rPr>
              <w:t>2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6"/>
              </w:rPr>
              <w:t>）]</w:t>
            </w:r>
          </w:p>
        </w:tc>
      </w:tr>
      <w:tr>
        <w:trPr>
          <w:trHeight w:val="277" w:hRule="atLeast"/>
        </w:trPr>
        <w:tc>
          <w:tcPr>
            <w:tcW w:w="2530" w:type="dxa"/>
            <w:vAlign w:val="top"/>
            <w:gridSpan w:val="2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99"/>
              <w:spacing w:before="53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阳性</w:t>
            </w:r>
          </w:p>
        </w:tc>
        <w:tc>
          <w:tcPr>
            <w:tcW w:w="137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97"/>
              <w:spacing w:before="53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阴性</w:t>
            </w:r>
          </w:p>
        </w:tc>
        <w:tc>
          <w:tcPr>
            <w:tcW w:w="154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630"/>
              <w:spacing w:before="53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特异度</w:t>
            </w:r>
          </w:p>
        </w:tc>
        <w:tc>
          <w:tcPr>
            <w:tcW w:w="142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513"/>
              <w:spacing w:before="53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敏感度</w:t>
            </w:r>
          </w:p>
        </w:tc>
        <w:tc>
          <w:tcPr>
            <w:tcW w:w="14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516"/>
              <w:spacing w:before="53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准确度</w:t>
            </w:r>
          </w:p>
        </w:tc>
      </w:tr>
      <w:tr>
        <w:trPr>
          <w:trHeight w:val="559" w:hRule="atLeast"/>
        </w:trPr>
        <w:tc>
          <w:tcPr>
            <w:tcW w:w="1626" w:type="dxa"/>
            <w:vAlign w:val="top"/>
            <w:tcBorders>
              <w:top w:val="single" w:color="231F20" w:sz="2" w:space="0"/>
            </w:tcBorders>
          </w:tcPr>
          <w:p>
            <w:pPr>
              <w:ind w:left="155"/>
              <w:spacing w:before="198" w:line="20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经阴道彩超检查</w:t>
            </w:r>
          </w:p>
        </w:tc>
        <w:tc>
          <w:tcPr>
            <w:tcW w:w="904" w:type="dxa"/>
            <w:vAlign w:val="top"/>
            <w:tcBorders>
              <w:top w:val="single" w:color="231F20" w:sz="2" w:space="0"/>
            </w:tcBorders>
          </w:tcPr>
          <w:p>
            <w:pPr>
              <w:ind w:left="208"/>
              <w:spacing w:before="55" w:line="20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阳性</w:t>
            </w:r>
          </w:p>
          <w:p>
            <w:pPr>
              <w:ind w:left="205"/>
              <w:spacing w:before="5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阴性</w:t>
            </w:r>
          </w:p>
        </w:tc>
        <w:tc>
          <w:tcPr>
            <w:tcW w:w="1290" w:type="dxa"/>
            <w:vAlign w:val="top"/>
            <w:tcBorders>
              <w:top w:val="single" w:color="231F20" w:sz="2" w:space="0"/>
            </w:tcBorders>
          </w:tcPr>
          <w:p>
            <w:pPr>
              <w:ind w:left="565"/>
              <w:spacing w:before="56" w:line="21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9"/>
              </w:rPr>
              <w:t>58</w:t>
            </w:r>
          </w:p>
          <w:p>
            <w:pPr>
              <w:ind w:left="644"/>
              <w:spacing w:before="33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</w:rPr>
              <w:t>4</w:t>
            </w:r>
          </w:p>
        </w:tc>
        <w:tc>
          <w:tcPr>
            <w:tcW w:w="1379" w:type="dxa"/>
            <w:vAlign w:val="top"/>
            <w:tcBorders>
              <w:top w:val="single" w:color="231F20" w:sz="2" w:space="0"/>
            </w:tcBorders>
          </w:tcPr>
          <w:p>
            <w:pPr>
              <w:ind w:left="645"/>
              <w:spacing w:before="56" w:line="21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</w:rPr>
              <w:t>3</w:t>
            </w:r>
          </w:p>
          <w:p>
            <w:pPr>
              <w:ind w:left="572"/>
              <w:spacing w:before="3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15</w:t>
            </w:r>
          </w:p>
        </w:tc>
        <w:tc>
          <w:tcPr>
            <w:tcW w:w="1545" w:type="dxa"/>
            <w:vAlign w:val="top"/>
            <w:tcBorders>
              <w:top w:val="single" w:color="231F20" w:sz="2" w:space="0"/>
            </w:tcBorders>
          </w:tcPr>
          <w:p>
            <w:pPr>
              <w:ind w:left="347"/>
              <w:spacing w:before="197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83.33（15/18）</w:t>
            </w:r>
          </w:p>
        </w:tc>
        <w:tc>
          <w:tcPr>
            <w:tcW w:w="1429" w:type="dxa"/>
            <w:vAlign w:val="top"/>
            <w:tcBorders>
              <w:top w:val="single" w:color="231F20" w:sz="2" w:space="0"/>
            </w:tcBorders>
          </w:tcPr>
          <w:p>
            <w:pPr>
              <w:ind w:left="232"/>
              <w:spacing w:before="197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93.55（58/62）</w:t>
            </w:r>
          </w:p>
        </w:tc>
        <w:tc>
          <w:tcPr>
            <w:tcW w:w="1464" w:type="dxa"/>
            <w:vAlign w:val="top"/>
            <w:tcBorders>
              <w:top w:val="single" w:color="231F20" w:sz="2" w:space="0"/>
            </w:tcBorders>
          </w:tcPr>
          <w:p>
            <w:pPr>
              <w:ind w:left="232"/>
              <w:spacing w:before="197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91.25（73/80）</w:t>
            </w:r>
          </w:p>
        </w:tc>
      </w:tr>
      <w:tr>
        <w:trPr>
          <w:trHeight w:val="558" w:hRule="atLeast"/>
        </w:trPr>
        <w:tc>
          <w:tcPr>
            <w:tcW w:w="1626" w:type="dxa"/>
            <w:vAlign w:val="top"/>
          </w:tcPr>
          <w:p>
            <w:pPr>
              <w:ind w:left="155"/>
              <w:spacing w:before="204" w:line="20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经腹部彩超检查</w:t>
            </w:r>
          </w:p>
        </w:tc>
        <w:tc>
          <w:tcPr>
            <w:tcW w:w="904" w:type="dxa"/>
            <w:vAlign w:val="top"/>
          </w:tcPr>
          <w:p>
            <w:pPr>
              <w:ind w:left="208"/>
              <w:spacing w:before="62" w:line="20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阳性</w:t>
            </w:r>
          </w:p>
          <w:p>
            <w:pPr>
              <w:ind w:left="205"/>
              <w:spacing w:before="53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阴性</w:t>
            </w:r>
          </w:p>
        </w:tc>
        <w:tc>
          <w:tcPr>
            <w:tcW w:w="1290" w:type="dxa"/>
            <w:vAlign w:val="top"/>
          </w:tcPr>
          <w:p>
            <w:pPr>
              <w:ind w:left="565"/>
              <w:spacing w:before="62" w:line="21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9"/>
              </w:rPr>
              <w:t>50</w:t>
            </w:r>
          </w:p>
          <w:p>
            <w:pPr>
              <w:ind w:left="572"/>
              <w:spacing w:before="33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12</w:t>
            </w:r>
          </w:p>
        </w:tc>
        <w:tc>
          <w:tcPr>
            <w:tcW w:w="1379" w:type="dxa"/>
            <w:vAlign w:val="top"/>
          </w:tcPr>
          <w:p>
            <w:pPr>
              <w:ind w:left="647"/>
              <w:spacing w:before="62" w:line="21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</w:rPr>
              <w:t>6</w:t>
            </w:r>
          </w:p>
          <w:p>
            <w:pPr>
              <w:ind w:left="572"/>
              <w:spacing w:before="33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12</w:t>
            </w:r>
          </w:p>
        </w:tc>
        <w:tc>
          <w:tcPr>
            <w:tcW w:w="1545" w:type="dxa"/>
            <w:vAlign w:val="top"/>
          </w:tcPr>
          <w:p>
            <w:pPr>
              <w:ind w:left="349"/>
              <w:spacing w:before="204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66.67（12/18）</w:t>
            </w:r>
          </w:p>
        </w:tc>
        <w:tc>
          <w:tcPr>
            <w:tcW w:w="1429" w:type="dxa"/>
            <w:vAlign w:val="top"/>
          </w:tcPr>
          <w:p>
            <w:pPr>
              <w:ind w:left="232"/>
              <w:spacing w:before="204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80.65（50/62）</w:t>
            </w:r>
          </w:p>
        </w:tc>
        <w:tc>
          <w:tcPr>
            <w:tcW w:w="1464" w:type="dxa"/>
            <w:vAlign w:val="top"/>
          </w:tcPr>
          <w:p>
            <w:pPr>
              <w:ind w:left="233"/>
              <w:spacing w:before="204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77.50（62/80）</w:t>
            </w:r>
          </w:p>
        </w:tc>
      </w:tr>
      <w:tr>
        <w:trPr>
          <w:trHeight w:val="288" w:hRule="atLeast"/>
        </w:trPr>
        <w:tc>
          <w:tcPr>
            <w:tcW w:w="1626" w:type="dxa"/>
            <w:vAlign w:val="top"/>
          </w:tcPr>
          <w:p>
            <w:pPr>
              <w:ind w:left="1091"/>
              <w:spacing w:before="53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2"/>
                <w:position w:val="-1"/>
              </w:rPr>
              <w:t>χ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2"/>
                <w:position w:val="6"/>
              </w:rPr>
              <w:t>2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17"/>
                <w:position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2"/>
                <w:position w:val="-1"/>
              </w:rPr>
              <w:t>值</w:t>
            </w:r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5" w:type="dxa"/>
            <w:vAlign w:val="top"/>
          </w:tcPr>
          <w:p>
            <w:pPr>
              <w:ind w:left="825"/>
              <w:spacing w:before="160" w:line="118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4"/>
                <w:position w:val="-7"/>
              </w:rPr>
              <w:t>-</w:t>
            </w:r>
          </w:p>
        </w:tc>
        <w:tc>
          <w:tcPr>
            <w:tcW w:w="1429" w:type="dxa"/>
            <w:vAlign w:val="top"/>
          </w:tcPr>
          <w:p>
            <w:pPr>
              <w:ind w:left="573"/>
              <w:spacing w:before="70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9"/>
              </w:rPr>
              <w:t>4.593</w:t>
            </w:r>
          </w:p>
        </w:tc>
        <w:tc>
          <w:tcPr>
            <w:tcW w:w="1464" w:type="dxa"/>
            <w:vAlign w:val="top"/>
          </w:tcPr>
          <w:p>
            <w:pPr>
              <w:ind w:left="575"/>
              <w:spacing w:before="70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5.736</w:t>
            </w:r>
          </w:p>
        </w:tc>
      </w:tr>
      <w:tr>
        <w:trPr>
          <w:trHeight w:val="288" w:hRule="atLeast"/>
        </w:trPr>
        <w:tc>
          <w:tcPr>
            <w:tcW w:w="1626" w:type="dxa"/>
            <w:vAlign w:val="top"/>
            <w:tcBorders>
              <w:bottom w:val="single" w:color="231F20" w:sz="4" w:space="0"/>
            </w:tcBorders>
          </w:tcPr>
          <w:p>
            <w:pPr>
              <w:ind w:left="1112"/>
              <w:spacing w:before="64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P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"/>
              </w:rPr>
              <w:t>值</w:t>
            </w:r>
          </w:p>
        </w:tc>
        <w:tc>
          <w:tcPr>
            <w:tcW w:w="90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5" w:type="dxa"/>
            <w:vAlign w:val="top"/>
            <w:tcBorders>
              <w:bottom w:val="single" w:color="231F20" w:sz="4" w:space="0"/>
            </w:tcBorders>
          </w:tcPr>
          <w:p>
            <w:pPr>
              <w:ind w:left="666"/>
              <w:spacing w:before="61" w:line="189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2"/>
              </w:rPr>
              <w:t>0.443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5"/>
                <w:position w:val="7"/>
              </w:rPr>
              <w:t>*</w:t>
            </w:r>
          </w:p>
        </w:tc>
        <w:tc>
          <w:tcPr>
            <w:tcW w:w="1429" w:type="dxa"/>
            <w:vAlign w:val="top"/>
            <w:tcBorders>
              <w:bottom w:val="single" w:color="231F20" w:sz="4" w:space="0"/>
            </w:tcBorders>
          </w:tcPr>
          <w:p>
            <w:pPr>
              <w:ind w:left="574"/>
              <w:spacing w:before="64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0.032</w:t>
            </w:r>
          </w:p>
        </w:tc>
        <w:tc>
          <w:tcPr>
            <w:tcW w:w="1464" w:type="dxa"/>
            <w:vAlign w:val="top"/>
            <w:tcBorders>
              <w:bottom w:val="single" w:color="231F20" w:sz="4" w:space="0"/>
            </w:tcBorders>
          </w:tcPr>
          <w:p>
            <w:pPr>
              <w:ind w:left="575"/>
              <w:spacing w:before="64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0.017</w:t>
            </w:r>
          </w:p>
        </w:tc>
      </w:tr>
    </w:tbl>
    <w:p>
      <w:pPr>
        <w:spacing w:line="29" w:lineRule="auto"/>
        <w:rPr>
          <w:rFonts w:ascii="Arial"/>
          <w:sz w:val="2"/>
        </w:rPr>
      </w:pPr>
      <w:r/>
    </w:p>
    <w:p>
      <w:pPr>
        <w:spacing w:line="29" w:lineRule="auto"/>
        <w:sectPr>
          <w:type w:val="continuous"/>
          <w:pgSz w:w="11906" w:h="16838"/>
          <w:pgMar w:top="1411" w:right="1088" w:bottom="1107" w:left="424" w:header="827" w:footer="898" w:gutter="0"/>
          <w:cols w:equalWidth="0" w:num="1">
            <w:col w:w="1039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16"/>
        <w:spacing w:before="47" w:line="20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注：</w:t>
      </w:r>
      <w:r>
        <w:rPr>
          <w:sz w:val="9"/>
          <w:szCs w:val="9"/>
          <w:color w:val="231F20"/>
          <w:spacing w:val="-3"/>
          <w:position w:val="7"/>
        </w:rPr>
        <w:t>*</w:t>
      </w:r>
      <w:r>
        <w:rPr>
          <w:sz w:val="9"/>
          <w:szCs w:val="9"/>
          <w:color w:val="231F20"/>
          <w:spacing w:val="31"/>
          <w:position w:val="7"/>
        </w:rPr>
        <w:t xml:space="preserve"> </w:t>
      </w:r>
      <w:r>
        <w:rPr>
          <w:sz w:val="16"/>
          <w:szCs w:val="16"/>
          <w:color w:val="231F20"/>
          <w:spacing w:val="-3"/>
        </w:rPr>
        <w:t>为 </w:t>
      </w:r>
      <w:r>
        <w:rPr>
          <w:sz w:val="16"/>
          <w:szCs w:val="16"/>
          <w:color w:val="231F20"/>
          <w:spacing w:val="-6"/>
        </w:rPr>
        <w:t>Fisher 确切概率法</w:t>
      </w:r>
    </w:p>
    <w:p>
      <w:pPr>
        <w:pStyle w:val="BodyText"/>
        <w:ind w:left="718"/>
        <w:spacing w:before="185" w:line="221" w:lineRule="auto"/>
        <w:outlineLvl w:val="1"/>
        <w:rPr/>
      </w:pPr>
      <w:r>
        <w:rPr>
          <w:color w:val="231F20"/>
          <w:spacing w:val="-7"/>
        </w:rPr>
        <w:t>3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7"/>
        </w:rPr>
        <w:t>讨论</w:t>
      </w:r>
    </w:p>
    <w:p>
      <w:pPr>
        <w:pStyle w:val="BodyText"/>
        <w:ind w:left="714" w:right="236" w:firstLine="430"/>
        <w:spacing w:before="1" w:line="213" w:lineRule="auto"/>
        <w:jc w:val="both"/>
        <w:rPr/>
      </w:pPr>
      <w:r>
        <w:rPr>
          <w:color w:val="231F20"/>
        </w:rPr>
        <w:t>卵巢囊肿蒂扭转发病急，且症状较重，可导致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患者大出血、休克等，严重危及患者的生命 </w:t>
      </w:r>
      <w:r>
        <w:rPr>
          <w:sz w:val="12"/>
          <w:szCs w:val="12"/>
          <w:color w:val="231F20"/>
          <w:position w:val="9"/>
        </w:rPr>
        <w:t>[3]</w:t>
      </w:r>
      <w:r>
        <w:rPr>
          <w:color w:val="231F20"/>
        </w:rPr>
        <w:t>。卵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巢囊肿蒂扭转的临床症状与其他急腹症相似而易造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成混淆，延误最佳治疗时机 </w:t>
      </w:r>
      <w:r>
        <w:rPr>
          <w:sz w:val="12"/>
          <w:szCs w:val="12"/>
          <w:color w:val="231F20"/>
          <w:spacing w:val="-3"/>
          <w:position w:val="9"/>
        </w:rPr>
        <w:t>[4]</w:t>
      </w:r>
      <w:r>
        <w:rPr>
          <w:color w:val="231F20"/>
          <w:spacing w:val="-3"/>
        </w:rPr>
        <w:t>。</w:t>
      </w:r>
    </w:p>
    <w:p>
      <w:pPr>
        <w:pStyle w:val="BodyText"/>
        <w:ind w:left="711" w:right="155" w:firstLine="429"/>
        <w:spacing w:before="8" w:line="210" w:lineRule="auto"/>
        <w:jc w:val="both"/>
        <w:rPr/>
      </w:pPr>
      <w:r>
        <w:rPr>
          <w:color w:val="231F20"/>
        </w:rPr>
        <w:t>彩超检查具有无创、操作简便、重复性强等优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势，且多普勒血流显像功能可显示病灶部位的血管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解剖结构、血流方向、血流速度和血流状态的改变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情况，可明显提高疾病的鉴别能力和诊断的准确性。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本研究结果显示，经阴道彩超诊断卵巢囊肿蒂扭转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的敏感度和准确度均高于经腹部彩超；经腹部彩超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与经阴道彩超诊断卵巢囊肿蒂扭转的特异度</w:t>
      </w:r>
      <w:r>
        <w:rPr>
          <w:color w:val="231F20"/>
          <w:spacing w:val="4"/>
        </w:rPr>
        <w:t>比较，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差异无统计学意义。分析原因可能是，经腹</w:t>
      </w:r>
      <w:r>
        <w:rPr>
          <w:color w:val="231F20"/>
        </w:rPr>
        <w:t>彩超检  </w:t>
      </w:r>
      <w:r>
        <w:rPr>
          <w:color w:val="231F20"/>
        </w:rPr>
        <w:t>查的扫查范围虽然较大、灵活性较强，可更完整地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显示盆腔的全景，方便病灶定位，但该方法因探头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距盆腔、卵巢较远，而包块位置多偏高，多</w:t>
      </w:r>
      <w:r>
        <w:rPr>
          <w:color w:val="231F20"/>
        </w:rPr>
        <w:t>位于子  </w:t>
      </w:r>
      <w:r>
        <w:rPr>
          <w:color w:val="231F20"/>
          <w:spacing w:val="1"/>
        </w:rPr>
        <w:t>宫左、右前上方或子宫体后方，故肥胖、膀</w:t>
      </w:r>
      <w:r>
        <w:rPr>
          <w:color w:val="231F20"/>
        </w:rPr>
        <w:t>胱充盈  </w:t>
      </w:r>
      <w:r>
        <w:rPr>
          <w:color w:val="231F20"/>
        </w:rPr>
        <w:t>不佳、腹腔胀气，以及包块囊壁因水肿而增厚、囊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肿内出血坏死导致透声度较差等原因，均可能</w:t>
      </w:r>
      <w:r>
        <w:rPr>
          <w:color w:val="231F20"/>
        </w:rPr>
        <w:t>导致  </w:t>
      </w:r>
      <w:r>
        <w:rPr>
          <w:color w:val="231F20"/>
          <w:spacing w:val="3"/>
        </w:rPr>
        <w:t>漏诊 </w:t>
      </w:r>
      <w:r>
        <w:rPr>
          <w:sz w:val="12"/>
          <w:szCs w:val="12"/>
          <w:color w:val="231F20"/>
          <w:spacing w:val="3"/>
          <w:position w:val="9"/>
        </w:rPr>
        <w:t>[5-6]</w:t>
      </w:r>
      <w:r>
        <w:rPr>
          <w:sz w:val="12"/>
          <w:szCs w:val="12"/>
          <w:color w:val="231F20"/>
          <w:spacing w:val="-11"/>
          <w:position w:val="9"/>
        </w:rPr>
        <w:t xml:space="preserve"> </w:t>
      </w:r>
      <w:r>
        <w:rPr>
          <w:color w:val="231F20"/>
          <w:spacing w:val="3"/>
        </w:rPr>
        <w:t>。经阴道彩超检查是一种腔内超声，与经</w:t>
      </w:r>
      <w:r>
        <w:rPr>
          <w:color w:val="231F20"/>
        </w:rPr>
        <w:t xml:space="preserve">  </w:t>
      </w:r>
      <w:r>
        <w:rPr>
          <w:color w:val="231F20"/>
        </w:rPr>
        <w:t>腹部彩超比较，其扫查范围较小，但由于探头在阴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"/>
        </w:rPr>
        <w:t>道内，能使盆腔处于声束附近，可细致观察</w:t>
      </w:r>
      <w:r>
        <w:rPr>
          <w:color w:val="231F20"/>
        </w:rPr>
        <w:t>囊壁厚  </w:t>
      </w:r>
      <w:r>
        <w:rPr>
          <w:color w:val="231F20"/>
          <w:spacing w:val="1"/>
        </w:rPr>
        <w:t>度、囊内结构回声、囊壁血流等，特别利于发现微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小病变，且不受膀胱充盈度、肥胖、瘢痕、</w:t>
      </w:r>
      <w:r>
        <w:rPr>
          <w:color w:val="231F20"/>
        </w:rPr>
        <w:t>肠腔等  </w:t>
      </w:r>
      <w:r>
        <w:rPr>
          <w:color w:val="231F20"/>
          <w:spacing w:val="-7"/>
        </w:rPr>
        <w:t>因素的影响，可有效弥补经腹部超声诊断的不足</w:t>
      </w:r>
      <w:r>
        <w:rPr>
          <w:color w:val="231F20"/>
          <w:spacing w:val="-35"/>
        </w:rPr>
        <w:t xml:space="preserve"> </w:t>
      </w:r>
      <w:r>
        <w:rPr>
          <w:sz w:val="12"/>
          <w:szCs w:val="12"/>
          <w:color w:val="231F20"/>
          <w:spacing w:val="-7"/>
          <w:position w:val="9"/>
        </w:rPr>
        <w:t>[7</w:t>
      </w:r>
      <w:r>
        <w:rPr>
          <w:sz w:val="12"/>
          <w:szCs w:val="12"/>
          <w:color w:val="231F20"/>
          <w:spacing w:val="-8"/>
          <w:position w:val="9"/>
        </w:rPr>
        <w:t>-8]</w:t>
      </w:r>
      <w:r>
        <w:rPr>
          <w:color w:val="231F20"/>
          <w:spacing w:val="-8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right="50" w:firstLine="6"/>
        <w:spacing w:before="91" w:line="213" w:lineRule="auto"/>
        <w:rPr/>
      </w:pPr>
      <w:r>
        <w:rPr>
          <w:color w:val="231F20"/>
          <w:spacing w:val="1"/>
        </w:rPr>
        <w:t>而两种诊断方式的特异度相当可能与经阴道</w:t>
      </w:r>
      <w:r>
        <w:rPr>
          <w:color w:val="231F20"/>
        </w:rPr>
        <w:t>彩超检 </w:t>
      </w:r>
      <w:r>
        <w:rPr>
          <w:color w:val="231F20"/>
          <w:spacing w:val="-3"/>
        </w:rPr>
        <w:t>查的范围受限有关。</w:t>
      </w:r>
    </w:p>
    <w:p>
      <w:pPr>
        <w:pStyle w:val="BodyText"/>
        <w:ind w:left="3" w:right="64" w:firstLine="421"/>
        <w:spacing w:before="1" w:line="215" w:lineRule="auto"/>
        <w:jc w:val="both"/>
        <w:rPr/>
      </w:pPr>
      <w:r>
        <w:rPr>
          <w:color w:val="231F20"/>
        </w:rPr>
        <w:t>综上所述，经阴道彩超诊断卵巢囊肿蒂扭转的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准确度和敏感度高于经腹部彩超，两种诊断方式的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特异度相当。</w:t>
      </w:r>
    </w:p>
    <w:p>
      <w:pPr>
        <w:pStyle w:val="BodyText"/>
        <w:ind w:left="1973"/>
        <w:spacing w:before="1" w:line="177" w:lineRule="auto"/>
        <w:outlineLvl w:val="0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参考文献</w:t>
      </w:r>
    </w:p>
    <w:p>
      <w:pPr>
        <w:pStyle w:val="BodyText"/>
        <w:ind w:left="387" w:right="50" w:hanging="381"/>
        <w:spacing w:before="83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[1]</w:t>
      </w:r>
      <w:r>
        <w:rPr>
          <w:sz w:val="16"/>
          <w:szCs w:val="16"/>
          <w:color w:val="231F20"/>
          <w:spacing w:val="11"/>
        </w:rPr>
        <w:t xml:space="preserve">    </w:t>
      </w:r>
      <w:r>
        <w:rPr>
          <w:sz w:val="16"/>
          <w:szCs w:val="16"/>
          <w:color w:val="231F20"/>
          <w:spacing w:val="-2"/>
        </w:rPr>
        <w:t>何晓玲，杜鹏辉，王进，等 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2"/>
        </w:rPr>
        <w:t>经阴道及腹部彩超在 43 例卵巢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囊肿蒂扭转中的诊断价值 [J].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实用临床医药杂志，2019，23 </w:t>
      </w:r>
      <w:r>
        <w:rPr>
          <w:sz w:val="16"/>
          <w:szCs w:val="16"/>
          <w:color w:val="231F20"/>
          <w:spacing w:val="-4"/>
        </w:rPr>
        <w:t>（11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4"/>
        </w:rPr>
        <w:t>66-69.</w:t>
      </w:r>
    </w:p>
    <w:p>
      <w:pPr>
        <w:pStyle w:val="BodyText"/>
        <w:ind w:left="403" w:right="50" w:hanging="397"/>
        <w:spacing w:before="36" w:line="22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[2]     匡小慧，梁雪梅，周玲芳 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阴道彩超和腹部彩超在卵巢囊肿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蒂扭转诊断中的应用 [J].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海南医学，2020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3"/>
        </w:rPr>
        <w:t>，31（9</w:t>
      </w:r>
      <w:r>
        <w:rPr>
          <w:sz w:val="16"/>
          <w:szCs w:val="16"/>
          <w:color w:val="231F20"/>
          <w:spacing w:val="6"/>
        </w:rPr>
        <w:t>）：</w:t>
      </w:r>
      <w:r>
        <w:rPr>
          <w:sz w:val="16"/>
          <w:szCs w:val="16"/>
          <w:color w:val="231F20"/>
          <w:spacing w:val="-3"/>
        </w:rPr>
        <w:t>1</w:t>
      </w:r>
      <w:r>
        <w:rPr>
          <w:sz w:val="16"/>
          <w:szCs w:val="16"/>
          <w:color w:val="231F20"/>
          <w:spacing w:val="-4"/>
        </w:rPr>
        <w:t>159-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1161.</w:t>
      </w:r>
    </w:p>
    <w:p>
      <w:pPr>
        <w:pStyle w:val="BodyText"/>
        <w:ind w:left="399" w:right="49" w:hanging="393"/>
        <w:spacing w:before="10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[3]    吴少芬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3"/>
        </w:rPr>
        <w:t>彩色多普勒超声诊断卵巢囊肿蒂扭转的临床价</w:t>
      </w:r>
      <w:r>
        <w:rPr>
          <w:sz w:val="16"/>
          <w:szCs w:val="16"/>
          <w:color w:val="231F20"/>
          <w:spacing w:val="2"/>
        </w:rPr>
        <w:t>值分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析 [J]. 山东医药，2018，58（18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6"/>
        </w:rPr>
        <w:t>72-74.</w:t>
      </w:r>
    </w:p>
    <w:p>
      <w:pPr>
        <w:pStyle w:val="BodyText"/>
        <w:ind w:left="396" w:hanging="390"/>
        <w:spacing w:before="37" w:line="22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[4]    郝玉香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3"/>
        </w:rPr>
        <w:t>联合应用经阴道彩超和经腹部彩超诊断妇产科急腹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</w:rPr>
        <w:t>症的临床价值分析 [J].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</w:rPr>
        <w:t>中国药物与临床，2019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</w:rPr>
        <w:t>，19（14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2378-2379.</w:t>
      </w:r>
    </w:p>
    <w:p>
      <w:pPr>
        <w:pStyle w:val="BodyText"/>
        <w:ind w:left="397" w:hanging="391"/>
        <w:spacing w:before="11" w:line="22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[5]</w:t>
      </w:r>
      <w:r>
        <w:rPr>
          <w:sz w:val="16"/>
          <w:szCs w:val="16"/>
          <w:color w:val="231F20"/>
          <w:spacing w:val="11"/>
        </w:rPr>
        <w:t xml:space="preserve">    </w:t>
      </w:r>
      <w:r>
        <w:rPr>
          <w:sz w:val="16"/>
          <w:szCs w:val="16"/>
          <w:color w:val="231F20"/>
          <w:spacing w:val="2"/>
        </w:rPr>
        <w:t>邱俊芬，刘丹，包利峰，等 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腹部与经阴道超声检查卵</w:t>
      </w:r>
      <w:r>
        <w:rPr>
          <w:sz w:val="16"/>
          <w:szCs w:val="16"/>
          <w:color w:val="231F20"/>
          <w:spacing w:val="1"/>
        </w:rPr>
        <w:t>巢囊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"/>
        </w:rPr>
        <w:t>肿蒂扭转的临床分析 [J].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医学影像学杂志，2019，29（5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882-884.</w:t>
      </w:r>
    </w:p>
    <w:p>
      <w:pPr>
        <w:pStyle w:val="BodyText"/>
        <w:ind w:left="396" w:hanging="390"/>
        <w:spacing w:before="11" w:line="22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[6]    余红星，张春玲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阴道超声检查与腹部超声检查在妇产科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"/>
        </w:rPr>
        <w:t>疾病诊断中的应用价值 [J].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陕西医学杂志，2019，48（4</w:t>
      </w:r>
      <w:r>
        <w:rPr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445-448.</w:t>
      </w:r>
    </w:p>
    <w:p>
      <w:pPr>
        <w:pStyle w:val="BodyText"/>
        <w:ind w:left="398" w:right="49" w:hanging="392"/>
        <w:spacing w:before="10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[7]</w:t>
      </w:r>
      <w:r>
        <w:rPr>
          <w:sz w:val="16"/>
          <w:szCs w:val="16"/>
          <w:color w:val="231F20"/>
          <w:spacing w:val="10"/>
        </w:rPr>
        <w:t xml:space="preserve">    </w:t>
      </w:r>
      <w:r>
        <w:rPr>
          <w:sz w:val="16"/>
          <w:szCs w:val="16"/>
          <w:color w:val="231F20"/>
          <w:spacing w:val="2"/>
        </w:rPr>
        <w:t>焦淑萍 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2"/>
        </w:rPr>
        <w:t>腹部超声与阴道超声联合检查对妇科急腹症的诊断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价值 [J]. 河南医学研究，2018，27（2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6"/>
        </w:rPr>
        <w:t>2243-2244.</w:t>
      </w:r>
    </w:p>
    <w:p>
      <w:pPr>
        <w:pStyle w:val="BodyText"/>
        <w:ind w:left="397" w:hanging="391"/>
        <w:spacing w:before="37" w:line="22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[8]    杨荣泉，杨彬，谢洪群，等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经阴道与经腹超声诊断对卵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"/>
        </w:rPr>
        <w:t>巢囊肿蒂扭转的价值 [J].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中国妇幼保健，2017，3</w:t>
      </w:r>
      <w:r>
        <w:rPr>
          <w:sz w:val="16"/>
          <w:szCs w:val="16"/>
          <w:color w:val="231F20"/>
        </w:rPr>
        <w:t>2（16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3990-3992.</w:t>
      </w:r>
    </w:p>
    <w:p>
      <w:pPr>
        <w:pStyle w:val="BodyText"/>
        <w:ind w:left="3574"/>
        <w:spacing w:before="9" w:line="20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编辑：鲁腾腾</w:t>
      </w:r>
    </w:p>
    <w:sectPr>
      <w:type w:val="continuous"/>
      <w:pgSz w:w="11906" w:h="16838"/>
      <w:pgMar w:top="1411" w:right="1088" w:bottom="1107" w:left="424" w:header="827" w:footer="898" w:gutter="0"/>
      <w:cols w:equalWidth="0" w:num="2">
        <w:col w:w="5596" w:space="100"/>
        <w:col w:w="469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865"/>
      <w:spacing w:line="176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color w:val="231F20"/>
        <w:spacing w:val="-2"/>
      </w:rPr>
      <w:t>99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44"/>
      <w:spacing w:line="175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color w:val="231F20"/>
        <w:spacing w:val="-6"/>
      </w:rPr>
      <w:t>100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9262" w:type="dxa"/>
      <w:tblInd w:w="830" w:type="dxa"/>
      <w:tblLayout w:type="fixed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</w:tblPr>
    <w:tblGrid>
      <w:gridCol w:w="2544"/>
      <w:gridCol w:w="4082"/>
      <w:gridCol w:w="2636"/>
    </w:tblGrid>
    <w:tr>
      <w:trPr>
        <w:trHeight w:val="228" w:hRule="atLeast"/>
      </w:trPr>
      <w:tc>
        <w:tcPr>
          <w:tcW w:w="2544" w:type="dxa"/>
          <w:vAlign w:val="top"/>
        </w:tcPr>
        <w:p>
          <w:pPr>
            <w:ind w:left="634"/>
            <w:spacing w:line="169" w:lineRule="auto"/>
            <w:rPr>
              <w:rFonts w:ascii="Microsoft YaHei" w:hAnsi="Microsoft YaHei" w:eastAsia="Microsoft YaHei" w:cs="Microsoft YaHei"/>
              <w:sz w:val="18"/>
              <w:szCs w:val="18"/>
            </w:rPr>
          </w:pPr>
          <w:r>
            <w:pict>
      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      <v:imagedata o:title="" r:id="rId1"/>
              </v:shape>
            </w:pict>
          </w:r>
          <w:r>
            <w:pict>
              <v:shape id="_x0000_s4" style="position:absolute;margin-left:56.5511pt;margin-top:70.5205pt;mso-position-vertical-relative:page;mso-position-horizontal-relative:page;width:481.9pt;height:0.35pt;z-index:251659264;" o:allowincell="f" filled="false" strokecolor="#231F20" strokeweight="0.30pt" coordsize="9637,6" coordorigin="0,0" path="m0,3l9637,3e">
                <v:stroke joinstyle="miter" miterlimit="4"/>
              </v:shape>
            </w:pic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12"/>
            </w:rPr>
            <w:t>2021 年 5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4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12"/>
            </w:rPr>
            <w:t>月</w:t>
          </w:r>
        </w:p>
      </w:tc>
      <w:tc>
        <w:tcPr>
          <w:tcW w:w="4082" w:type="dxa"/>
          <w:vAlign w:val="top"/>
        </w:tcPr>
        <w:p>
          <w:pPr>
            <w:ind w:left="1570"/>
            <w:spacing w:line="169" w:lineRule="auto"/>
            <w:rPr>
              <w:rFonts w:ascii="Microsoft YaHei" w:hAnsi="Microsoft YaHei" w:eastAsia="Microsoft YaHei" w:cs="Microsoft YaHei"/>
              <w:sz w:val="18"/>
              <w:szCs w:val="18"/>
            </w:rPr>
          </w:pP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4"/>
            </w:rPr>
            <w:t>中国民康医学</w:t>
          </w:r>
        </w:p>
      </w:tc>
      <w:tc>
        <w:tcPr>
          <w:tcW w:w="2636" w:type="dxa"/>
          <w:vAlign w:val="top"/>
        </w:tcPr>
        <w:p>
          <w:pPr>
            <w:ind w:left="1385"/>
            <w:spacing w:before="28" w:line="190" w:lineRule="exact"/>
            <w:rPr>
              <w:rFonts w:ascii="Microsoft YaHei" w:hAnsi="Microsoft YaHei" w:eastAsia="Microsoft YaHei" w:cs="Microsoft YaHei"/>
              <w:sz w:val="18"/>
              <w:szCs w:val="18"/>
            </w:rPr>
          </w:pP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24"/>
              <w:w w:val="98"/>
              <w:position w:val="1"/>
            </w:rPr>
            <w:t>May，2021</w:t>
          </w:r>
        </w:p>
      </w:tc>
    </w:tr>
    <w:tr>
      <w:trPr>
        <w:trHeight w:val="229" w:hRule="atLeast"/>
      </w:trPr>
      <w:tc>
        <w:tcPr>
          <w:tcW w:w="2544" w:type="dxa"/>
          <w:vAlign w:val="top"/>
        </w:tcPr>
        <w:p>
          <w:pPr>
            <w:spacing w:before="28" w:line="191" w:lineRule="exact"/>
            <w:rPr>
              <w:rFonts w:ascii="Microsoft YaHei" w:hAnsi="Microsoft YaHei" w:eastAsia="Microsoft YaHei" w:cs="Microsoft YaHei"/>
              <w:sz w:val="18"/>
              <w:szCs w:val="18"/>
            </w:rPr>
          </w:pP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7"/>
              <w:position w:val="-1"/>
            </w:rPr>
            <w:t>第 33 卷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12"/>
              <w:position w:val="-1"/>
            </w:rPr>
            <w:t xml:space="preserve">   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7"/>
              <w:position w:val="-1"/>
            </w:rPr>
            <w:t>半月刊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7"/>
              <w:position w:val="-1"/>
            </w:rPr>
            <w:t xml:space="preserve">   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7"/>
              <w:position w:val="-1"/>
            </w:rPr>
            <w:t>第 9 期</w:t>
          </w:r>
        </w:p>
      </w:tc>
      <w:tc>
        <w:tcPr>
          <w:tcW w:w="4082" w:type="dxa"/>
          <w:vAlign w:val="top"/>
        </w:tcPr>
        <w:p>
          <w:pPr>
            <w:pStyle w:val="TableText"/>
            <w:ind w:left="476"/>
            <w:spacing w:before="62" w:line="161" w:lineRule="auto"/>
            <w:rPr/>
          </w:pPr>
          <w:r>
            <w:rPr>
              <w:color w:val="231F20"/>
              <w:spacing w:val="-13"/>
            </w:rPr>
            <w:t>Medical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  <w:spacing w:val="-13"/>
            </w:rPr>
            <w:t>Journal</w:t>
          </w:r>
          <w:r>
            <w:rPr>
              <w:color w:val="231F20"/>
              <w:spacing w:val="-40"/>
            </w:rPr>
            <w:t xml:space="preserve"> </w:t>
          </w:r>
          <w:r>
            <w:rPr>
              <w:color w:val="231F20"/>
              <w:spacing w:val="-13"/>
            </w:rPr>
            <w:t>of</w:t>
          </w:r>
          <w:r>
            <w:rPr>
              <w:color w:val="231F20"/>
              <w:spacing w:val="-47"/>
            </w:rPr>
            <w:t xml:space="preserve"> </w:t>
          </w:r>
          <w:r>
            <w:rPr>
              <w:color w:val="231F20"/>
              <w:spacing w:val="-13"/>
            </w:rPr>
            <w:t>Chinese</w:t>
          </w:r>
          <w:r>
            <w:rPr>
              <w:color w:val="231F20"/>
              <w:spacing w:val="-40"/>
            </w:rPr>
            <w:t xml:space="preserve"> </w:t>
          </w:r>
          <w:r>
            <w:rPr>
              <w:color w:val="231F20"/>
              <w:spacing w:val="-13"/>
            </w:rPr>
            <w:t>People's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  <w:spacing w:val="-13"/>
            </w:rPr>
            <w:t>Health</w:t>
          </w:r>
        </w:p>
      </w:tc>
      <w:tc>
        <w:tcPr>
          <w:tcW w:w="2636" w:type="dxa"/>
          <w:vAlign w:val="top"/>
        </w:tcPr>
        <w:p>
          <w:pPr>
            <w:pStyle w:val="TableText"/>
            <w:spacing w:before="62" w:line="161" w:lineRule="auto"/>
            <w:jc w:val="right"/>
            <w:rPr/>
          </w:pPr>
          <w:r>
            <w:rPr>
              <w:color w:val="231F20"/>
              <w:spacing w:val="-9"/>
            </w:rPr>
            <w:t>Vol.</w:t>
          </w:r>
          <w:r>
            <w:rPr>
              <w:color w:val="231F20"/>
              <w:spacing w:val="-51"/>
            </w:rPr>
            <w:t xml:space="preserve"> </w:t>
          </w:r>
          <w:r>
            <w:rPr>
              <w:color w:val="231F20"/>
              <w:spacing w:val="-9"/>
            </w:rPr>
            <w:t>33</w:t>
          </w:r>
          <w:r>
            <w:rPr>
              <w:color w:val="231F20"/>
              <w:spacing w:val="3"/>
            </w:rPr>
            <w:t xml:space="preserve">  </w:t>
          </w:r>
          <w:r>
            <w:rPr>
              <w:color w:val="231F20"/>
              <w:spacing w:val="-9"/>
            </w:rPr>
            <w:t>Semimonthly</w:t>
          </w:r>
          <w:r>
            <w:rPr>
              <w:color w:val="231F20"/>
              <w:spacing w:val="4"/>
            </w:rPr>
            <w:t xml:space="preserve">  </w:t>
          </w:r>
          <w:r>
            <w:rPr>
              <w:color w:val="231F20"/>
              <w:spacing w:val="-9"/>
            </w:rPr>
            <w:t>No.9</w:t>
          </w:r>
        </w:p>
      </w:tc>
    </w:tr>
  </w:tbl>
  <w:p>
    <w:pPr>
      <w:spacing w:line="120" w:lineRule="exact"/>
      <w:rPr>
        <w:rFonts w:ascii="Arial"/>
        <w:sz w:val="10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9262" w:type="dxa"/>
      <w:tblInd w:w="802" w:type="dxa"/>
      <w:tblLayout w:type="fixed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</w:tblPr>
    <w:tblGrid>
      <w:gridCol w:w="2544"/>
      <w:gridCol w:w="4082"/>
      <w:gridCol w:w="2636"/>
    </w:tblGrid>
    <w:tr>
      <w:trPr>
        <w:trHeight w:val="228" w:hRule="atLeast"/>
      </w:trPr>
      <w:tc>
        <w:tcPr>
          <w:tcW w:w="2544" w:type="dxa"/>
          <w:vAlign w:val="top"/>
        </w:tcPr>
        <w:p>
          <w:pPr>
            <w:ind w:left="634"/>
            <w:spacing w:line="169" w:lineRule="auto"/>
            <w:rPr>
              <w:rFonts w:ascii="Microsoft YaHei" w:hAnsi="Microsoft YaHei" w:eastAsia="Microsoft YaHei" w:cs="Microsoft YaHei"/>
              <w:sz w:val="18"/>
              <w:szCs w:val="18"/>
            </w:rPr>
          </w:pPr>
          <w:r>
            <w:pict>
              <v:shape id="WordPictureWatermark10" style="position:absolute;margin-left:21.2pt;margin-top:811.69pt;mso-position-vertical-relative:page;mso-position-horizontal-relative:page;width:168.95pt;height:12.5pt;z-index:-251656192;" o:allowincell="f" filled="false" stroked="false" type="#_x0000_t75">
                <v:imagedata o:title="" r:id="rId1"/>
              </v:shape>
            </w:pict>
          </w:r>
          <w:r>
            <w:pict>
              <v:shape id="_x0000_s12" style="position:absolute;margin-left:56.7045pt;margin-top:70.2576pt;mso-position-vertical-relative:page;mso-position-horizontal-relative:page;width:481.9pt;height:0.35pt;z-index:251661312;" o:allowincell="f" filled="false" strokecolor="#231F20" strokeweight="0.30pt" coordsize="9637,6" coordorigin="0,0" path="m0,3l9637,3e">
                <v:stroke joinstyle="miter" miterlimit="4"/>
              </v:shape>
            </w:pic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12"/>
            </w:rPr>
            <w:t>2021 年 5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4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12"/>
            </w:rPr>
            <w:t>月</w:t>
          </w:r>
        </w:p>
      </w:tc>
      <w:tc>
        <w:tcPr>
          <w:tcW w:w="4082" w:type="dxa"/>
          <w:vAlign w:val="top"/>
        </w:tcPr>
        <w:p>
          <w:pPr>
            <w:ind w:left="1570"/>
            <w:spacing w:line="169" w:lineRule="auto"/>
            <w:rPr>
              <w:rFonts w:ascii="Microsoft YaHei" w:hAnsi="Microsoft YaHei" w:eastAsia="Microsoft YaHei" w:cs="Microsoft YaHei"/>
              <w:sz w:val="18"/>
              <w:szCs w:val="18"/>
            </w:rPr>
          </w:pP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4"/>
            </w:rPr>
            <w:t>中国民康医学</w:t>
          </w:r>
        </w:p>
      </w:tc>
      <w:tc>
        <w:tcPr>
          <w:tcW w:w="2636" w:type="dxa"/>
          <w:vAlign w:val="top"/>
        </w:tcPr>
        <w:p>
          <w:pPr>
            <w:ind w:left="1385"/>
            <w:spacing w:before="28" w:line="190" w:lineRule="exact"/>
            <w:rPr>
              <w:rFonts w:ascii="Microsoft YaHei" w:hAnsi="Microsoft YaHei" w:eastAsia="Microsoft YaHei" w:cs="Microsoft YaHei"/>
              <w:sz w:val="18"/>
              <w:szCs w:val="18"/>
            </w:rPr>
          </w:pP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24"/>
              <w:w w:val="98"/>
              <w:position w:val="1"/>
            </w:rPr>
            <w:t>May，2021</w:t>
          </w:r>
        </w:p>
      </w:tc>
    </w:tr>
    <w:tr>
      <w:trPr>
        <w:trHeight w:val="229" w:hRule="atLeast"/>
      </w:trPr>
      <w:tc>
        <w:tcPr>
          <w:tcW w:w="2544" w:type="dxa"/>
          <w:vAlign w:val="top"/>
        </w:tcPr>
        <w:p>
          <w:pPr>
            <w:spacing w:before="28" w:line="191" w:lineRule="exact"/>
            <w:rPr>
              <w:rFonts w:ascii="Microsoft YaHei" w:hAnsi="Microsoft YaHei" w:eastAsia="Microsoft YaHei" w:cs="Microsoft YaHei"/>
              <w:sz w:val="18"/>
              <w:szCs w:val="18"/>
            </w:rPr>
          </w:pP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7"/>
              <w:position w:val="-1"/>
            </w:rPr>
            <w:t>第 33 卷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12"/>
              <w:position w:val="-1"/>
            </w:rPr>
            <w:t xml:space="preserve">   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7"/>
              <w:position w:val="-1"/>
            </w:rPr>
            <w:t>半月刊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7"/>
              <w:position w:val="-1"/>
            </w:rPr>
            <w:t xml:space="preserve">   </w:t>
          </w:r>
          <w:r>
            <w:rPr>
              <w:rFonts w:ascii="Microsoft YaHei" w:hAnsi="Microsoft YaHei" w:eastAsia="Microsoft YaHei" w:cs="Microsoft YaHei"/>
              <w:sz w:val="18"/>
              <w:szCs w:val="18"/>
              <w:color w:val="231F20"/>
              <w:spacing w:val="-7"/>
              <w:position w:val="-1"/>
            </w:rPr>
            <w:t>第 9 期</w:t>
          </w:r>
        </w:p>
      </w:tc>
      <w:tc>
        <w:tcPr>
          <w:tcW w:w="4082" w:type="dxa"/>
          <w:vAlign w:val="top"/>
        </w:tcPr>
        <w:p>
          <w:pPr>
            <w:pStyle w:val="TableText"/>
            <w:ind w:left="476"/>
            <w:spacing w:before="62" w:line="161" w:lineRule="auto"/>
            <w:rPr/>
          </w:pPr>
          <w:r>
            <w:rPr>
              <w:color w:val="231F20"/>
              <w:spacing w:val="-13"/>
            </w:rPr>
            <w:t>Medical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  <w:spacing w:val="-13"/>
            </w:rPr>
            <w:t>Journal</w:t>
          </w:r>
          <w:r>
            <w:rPr>
              <w:color w:val="231F20"/>
              <w:spacing w:val="-40"/>
            </w:rPr>
            <w:t xml:space="preserve"> </w:t>
          </w:r>
          <w:r>
            <w:rPr>
              <w:color w:val="231F20"/>
              <w:spacing w:val="-13"/>
            </w:rPr>
            <w:t>of</w:t>
          </w:r>
          <w:r>
            <w:rPr>
              <w:color w:val="231F20"/>
              <w:spacing w:val="-47"/>
            </w:rPr>
            <w:t xml:space="preserve"> </w:t>
          </w:r>
          <w:r>
            <w:rPr>
              <w:color w:val="231F20"/>
              <w:spacing w:val="-13"/>
            </w:rPr>
            <w:t>Chinese</w:t>
          </w:r>
          <w:r>
            <w:rPr>
              <w:color w:val="231F20"/>
              <w:spacing w:val="-40"/>
            </w:rPr>
            <w:t xml:space="preserve"> </w:t>
          </w:r>
          <w:r>
            <w:rPr>
              <w:color w:val="231F20"/>
              <w:spacing w:val="-13"/>
            </w:rPr>
            <w:t>People's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  <w:spacing w:val="-13"/>
            </w:rPr>
            <w:t>Health</w:t>
          </w:r>
        </w:p>
      </w:tc>
      <w:tc>
        <w:tcPr>
          <w:tcW w:w="2636" w:type="dxa"/>
          <w:vAlign w:val="top"/>
        </w:tcPr>
        <w:p>
          <w:pPr>
            <w:pStyle w:val="TableText"/>
            <w:spacing w:before="62" w:line="161" w:lineRule="auto"/>
            <w:jc w:val="right"/>
            <w:rPr/>
          </w:pPr>
          <w:r>
            <w:rPr>
              <w:color w:val="231F20"/>
              <w:spacing w:val="-9"/>
            </w:rPr>
            <w:t>Vol.</w:t>
          </w:r>
          <w:r>
            <w:rPr>
              <w:color w:val="231F20"/>
              <w:spacing w:val="-51"/>
            </w:rPr>
            <w:t xml:space="preserve"> </w:t>
          </w:r>
          <w:r>
            <w:rPr>
              <w:color w:val="231F20"/>
              <w:spacing w:val="-9"/>
            </w:rPr>
            <w:t>33</w:t>
          </w:r>
          <w:r>
            <w:rPr>
              <w:color w:val="231F20"/>
              <w:spacing w:val="3"/>
            </w:rPr>
            <w:t xml:space="preserve">  </w:t>
          </w:r>
          <w:r>
            <w:rPr>
              <w:color w:val="231F20"/>
              <w:spacing w:val="-9"/>
            </w:rPr>
            <w:t>Semimonthly</w:t>
          </w:r>
          <w:r>
            <w:rPr>
              <w:color w:val="231F20"/>
              <w:spacing w:val="4"/>
            </w:rPr>
            <w:t xml:space="preserve">  </w:t>
          </w:r>
          <w:r>
            <w:rPr>
              <w:color w:val="231F20"/>
              <w:spacing w:val="-9"/>
            </w:rPr>
            <w:t>No.9</w:t>
          </w:r>
        </w:p>
      </w:tc>
    </w:tr>
  </w:tbl>
  <w:p>
    <w:pPr>
      <w:spacing w:line="115" w:lineRule="exact"/>
      <w:rPr>
        <w:rFonts w:ascii="Arial"/>
        <w:sz w:val="10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2025-03-17T22:51:44Z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2025-10-28T21:33:23</vt:filetime>
  </property>
</Properties>
</file>