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17" w:lineRule="exact"/>
        <w:rPr/>
      </w:pPr>
      <w:r/>
    </w:p>
    <w:p>
      <w:pPr>
        <w:spacing w:line="217" w:lineRule="exact"/>
        <w:sectPr>
          <w:headerReference w:type="default" r:id="rId1"/>
          <w:footerReference w:type="default" r:id="rId2"/>
          <w:pgSz w:w="11906" w:h="16158"/>
          <w:pgMar w:top="1031" w:right="944" w:bottom="1241" w:left="407" w:header="708" w:footer="945" w:gutter="0"/>
          <w:cols w:equalWidth="0" w:num="1">
            <w:col w:w="10553" w:space="0"/>
          </w:cols>
        </w:sectPr>
        <w:rPr/>
      </w:pPr>
    </w:p>
    <w:p>
      <w:pPr>
        <w:pStyle w:val="BodyText"/>
        <w:ind w:left="602" w:right="209"/>
        <w:spacing w:before="35" w:line="235" w:lineRule="auto"/>
        <w:jc w:val="both"/>
        <w:rPr/>
      </w:pPr>
      <w:r>
        <w:rPr>
          <w:color w:val="231F20"/>
          <w:spacing w:val="6"/>
        </w:rPr>
        <w:t>有利于促进术后肺功能恢复，减少住院时间，减轻患者的经济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压力</w:t>
      </w:r>
      <w:r>
        <w:rPr>
          <w:sz w:val="10"/>
          <w:szCs w:val="10"/>
          <w:color w:val="231F20"/>
          <w:spacing w:val="5"/>
          <w:position w:val="6"/>
        </w:rPr>
        <w:t>[12]</w:t>
      </w:r>
      <w:r>
        <w:rPr>
          <w:sz w:val="10"/>
          <w:szCs w:val="10"/>
          <w:color w:val="231F20"/>
          <w:spacing w:val="-14"/>
          <w:position w:val="6"/>
        </w:rPr>
        <w:t xml:space="preserve"> </w:t>
      </w:r>
      <w:r>
        <w:rPr>
          <w:color w:val="231F20"/>
          <w:spacing w:val="5"/>
        </w:rPr>
        <w:t>。本研究对两种手术方法治疗早期肺癌的效果进行</w:t>
      </w:r>
      <w:r>
        <w:rPr>
          <w:color w:val="231F20"/>
          <w:spacing w:val="4"/>
        </w:rPr>
        <w:t>了对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比，结果显示：和参照组相比，试验组患者手术时间虽然较长，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当术中出血量、胸腔引流量较少，胸管留置时间、住院时间均更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短，且术后肺功能指标更优（</w:t>
      </w:r>
      <w:r>
        <w:rPr>
          <w:rFonts w:ascii="Arial" w:hAnsi="Arial" w:eastAsia="Arial" w:cs="Arial"/>
          <w:color w:val="231F20"/>
          <w:spacing w:val="-2"/>
        </w:rPr>
        <w:t>P</w:t>
      </w:r>
      <w:r>
        <w:rPr>
          <w:color w:val="231F20"/>
          <w:spacing w:val="-2"/>
        </w:rPr>
        <w:t>&lt;0.05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-2"/>
        </w:rPr>
        <w:t>2 组不良反应对比无显著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差异（</w:t>
      </w:r>
      <w:r>
        <w:rPr>
          <w:rFonts w:ascii="Arial" w:hAnsi="Arial" w:eastAsia="Arial" w:cs="Arial"/>
          <w:color w:val="231F20"/>
          <w:spacing w:val="-2"/>
        </w:rPr>
        <w:t>P</w:t>
      </w:r>
      <w:r>
        <w:rPr>
          <w:color w:val="231F20"/>
          <w:spacing w:val="-2"/>
        </w:rPr>
        <w:t>&gt;0.05）。由此可看出，两种手术方法虽均有较高的安全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性，但胸腔镜肺段切除术术中失血量较少，对患者肺部损害相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对较小，患者接受度更高。</w:t>
      </w:r>
    </w:p>
    <w:p>
      <w:pPr>
        <w:pStyle w:val="BodyText"/>
        <w:ind w:left="602" w:right="262" w:firstLine="356"/>
        <w:spacing w:line="238" w:lineRule="auto"/>
        <w:jc w:val="both"/>
        <w:rPr/>
      </w:pPr>
      <w:r>
        <w:rPr>
          <w:color w:val="231F20"/>
          <w:spacing w:val="6"/>
        </w:rPr>
        <w:t>综上所述，对早期肺癌患者实行胸腔镜肺叶切除术和肺段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切除术治疗均有良好的效果，且安全性较高，前者手术时间相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对较短，后者对患者肺功能损害较小，更有助于促进恢复。</w:t>
      </w:r>
    </w:p>
    <w:p>
      <w:pPr>
        <w:pStyle w:val="BodyText"/>
        <w:ind w:left="2672"/>
        <w:spacing w:line="18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参考文献</w:t>
      </w:r>
    </w:p>
    <w:p>
      <w:pPr>
        <w:pStyle w:val="BodyText"/>
        <w:ind w:left="921" w:right="262" w:hanging="314"/>
        <w:spacing w:before="55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[1]   郭洪拨，喻本桐.机器人与胸腔镜肺叶切除术在治疗早期</w:t>
      </w:r>
      <w:r>
        <w:rPr>
          <w:sz w:val="15"/>
          <w:szCs w:val="15"/>
          <w:color w:val="231F20"/>
          <w:spacing w:val="5"/>
        </w:rPr>
        <w:t>非小细胞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肺癌的安全性与疗效对比[J].实用医学杂志，2019，35</w:t>
      </w:r>
      <w:r>
        <w:rPr>
          <w:sz w:val="15"/>
          <w:szCs w:val="15"/>
          <w:color w:val="231F20"/>
          <w:spacing w:val="-4"/>
        </w:rPr>
        <w:t>（4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4"/>
        </w:rPr>
        <w:t>541-545.</w:t>
      </w:r>
    </w:p>
    <w:p>
      <w:pPr>
        <w:pStyle w:val="BodyText"/>
        <w:ind w:left="921" w:right="262" w:hanging="314"/>
        <w:spacing w:before="45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[2]   戚胜波，刘永靖，陶宇，等.胸</w:t>
      </w:r>
      <w:r>
        <w:rPr>
          <w:sz w:val="15"/>
          <w:szCs w:val="15"/>
          <w:color w:val="231F20"/>
          <w:spacing w:val="1"/>
        </w:rPr>
        <w:t>腔镜肺叶切除术与肺段切除术治疗早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期肺癌的临床分析[J].临床肺科杂志，2020，25（5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4"/>
        </w:rPr>
        <w:t>740-</w:t>
      </w:r>
      <w:r>
        <w:rPr>
          <w:sz w:val="15"/>
          <w:szCs w:val="15"/>
          <w:color w:val="231F20"/>
          <w:spacing w:val="-5"/>
        </w:rPr>
        <w:t>744.</w:t>
      </w:r>
    </w:p>
    <w:p>
      <w:pPr>
        <w:pStyle w:val="BodyText"/>
        <w:ind w:left="923" w:right="262" w:hanging="316"/>
        <w:spacing w:before="44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[3]   林俊峰.  胸腔镜肺叶切除术和肺段切除术治疗早期肺癌的效果比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较[J].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8"/>
        </w:rPr>
        <w:t>中外医学研究，2018，16（9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8"/>
        </w:rPr>
        <w:t>52-54.</w:t>
      </w:r>
    </w:p>
    <w:p>
      <w:pPr>
        <w:pStyle w:val="BodyText"/>
        <w:ind w:left="927" w:right="262" w:hanging="320"/>
        <w:spacing w:before="45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[4]   刘为超，葛阳，顾江魁，等.胸</w:t>
      </w:r>
      <w:r>
        <w:rPr>
          <w:sz w:val="15"/>
          <w:szCs w:val="15"/>
          <w:color w:val="231F20"/>
          <w:spacing w:val="1"/>
        </w:rPr>
        <w:t>腔镜肺段与肺叶切除术治疗早期非小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细胞肺癌的临床分析[J].临床肺科杂志，2018，23（5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4"/>
        </w:rPr>
        <w:t>921-924.</w:t>
      </w:r>
    </w:p>
    <w:p>
      <w:pPr>
        <w:pStyle w:val="BodyText"/>
        <w:ind w:left="607"/>
        <w:spacing w:before="45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[5]   钱昆，董百强，陆方晓，等.胸</w:t>
      </w:r>
      <w:r>
        <w:rPr>
          <w:sz w:val="15"/>
          <w:szCs w:val="15"/>
          <w:color w:val="231F20"/>
          <w:spacing w:val="1"/>
        </w:rPr>
        <w:t>腔镜肺叶切除术与立体定向放疗治疗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2" w:right="57" w:firstLine="63"/>
        <w:spacing w:before="39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早期非小细胞肺癌的疗效比较[J].中华放射医学与防护杂志，2020，40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"/>
        </w:rPr>
        <w:t>（6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"/>
        </w:rPr>
        <w:t>439-445.</w:t>
      </w:r>
    </w:p>
    <w:p>
      <w:pPr>
        <w:pStyle w:val="BodyText"/>
        <w:ind w:left="317" w:right="53" w:hanging="317"/>
        <w:spacing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[6]   卢景彤. 胸腔镜下肺段切除术与肺叶切除术治疗早期非</w:t>
      </w:r>
      <w:r>
        <w:rPr>
          <w:sz w:val="15"/>
          <w:szCs w:val="15"/>
          <w:color w:val="231F20"/>
          <w:spacing w:val="8"/>
        </w:rPr>
        <w:t>小细胞肺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癌临床效果的比较研究[J].临床合理用药杂志，</w:t>
      </w:r>
      <w:r>
        <w:rPr>
          <w:sz w:val="15"/>
          <w:szCs w:val="15"/>
          <w:color w:val="231F20"/>
          <w:spacing w:val="-9"/>
        </w:rPr>
        <w:t>2019，12（36</w:t>
      </w:r>
      <w:r>
        <w:rPr>
          <w:sz w:val="15"/>
          <w:szCs w:val="15"/>
          <w:color w:val="231F20"/>
          <w:spacing w:val="-20"/>
          <w:w w:val="50"/>
        </w:rPr>
        <w:t>）：</w:t>
      </w:r>
      <w:r>
        <w:rPr>
          <w:sz w:val="15"/>
          <w:szCs w:val="15"/>
          <w:color w:val="231F20"/>
          <w:spacing w:val="-9"/>
        </w:rPr>
        <w:t>135-137.</w:t>
      </w:r>
    </w:p>
    <w:p>
      <w:pPr>
        <w:pStyle w:val="BodyText"/>
        <w:ind w:left="320" w:right="51" w:hanging="320"/>
        <w:spacing w:before="44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[7]   刘昌平，钟一鸣. 胸腔镜肺</w:t>
      </w:r>
      <w:r>
        <w:rPr>
          <w:sz w:val="15"/>
          <w:szCs w:val="15"/>
          <w:color w:val="231F20"/>
          <w:spacing w:val="4"/>
        </w:rPr>
        <w:t>叶切除术与肺段切除术对高龄早期非小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细胞肺癌的治疗效果比较[J].按摩与康</w:t>
      </w:r>
      <w:r>
        <w:rPr>
          <w:sz w:val="15"/>
          <w:szCs w:val="15"/>
          <w:color w:val="231F20"/>
          <w:spacing w:val="-3"/>
        </w:rPr>
        <w:t>复医学，2018，9（5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3"/>
        </w:rPr>
        <w:t>62-64.</w:t>
      </w:r>
    </w:p>
    <w:p>
      <w:pPr>
        <w:pStyle w:val="BodyText"/>
        <w:ind w:left="317" w:right="7" w:hanging="317"/>
        <w:spacing w:before="4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[8]   张新峰.胸腔镜肺段与肺叶切除</w:t>
      </w:r>
      <w:r>
        <w:rPr>
          <w:sz w:val="15"/>
          <w:szCs w:val="15"/>
          <w:color w:val="231F20"/>
          <w:spacing w:val="1"/>
        </w:rPr>
        <w:t>术治疗早期非小细胞肺癌效果及对患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者临床指标、肺功能影响观察[J].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"/>
        </w:rPr>
        <w:t>中国全科医学，2018，21（S2</w:t>
      </w:r>
      <w:r>
        <w:rPr>
          <w:sz w:val="15"/>
          <w:szCs w:val="15"/>
          <w:color w:val="231F20"/>
          <w:spacing w:val="-36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153-155.</w:t>
      </w:r>
    </w:p>
    <w:p>
      <w:pPr>
        <w:pStyle w:val="BodyText"/>
        <w:ind w:left="252" w:right="53" w:hanging="252"/>
        <w:spacing w:before="20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[9]   朱喜明，谢念林，党海舟.胸腔镜肺段切除术治疗老年早</w:t>
      </w:r>
      <w:r>
        <w:rPr>
          <w:sz w:val="15"/>
          <w:szCs w:val="15"/>
          <w:color w:val="231F20"/>
          <w:spacing w:val="5"/>
        </w:rPr>
        <w:t>期非小细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胞肺癌近期疗效及对患者肺功能的影响研究[J].陕西医学杂志，20</w:t>
      </w:r>
      <w:r>
        <w:rPr>
          <w:sz w:val="15"/>
          <w:szCs w:val="15"/>
          <w:color w:val="231F20"/>
          <w:spacing w:val="-8"/>
        </w:rPr>
        <w:t>19，48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（12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7"/>
        </w:rPr>
        <w:t>1638-1641.</w:t>
      </w:r>
    </w:p>
    <w:p>
      <w:pPr>
        <w:pStyle w:val="BodyText"/>
        <w:ind w:left="385" w:right="53" w:hanging="386"/>
        <w:spacing w:before="45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[10]   蔡中立.胸腔镜肺段切除和肺叶切除</w:t>
      </w:r>
      <w:r>
        <w:rPr>
          <w:sz w:val="15"/>
          <w:szCs w:val="15"/>
          <w:color w:val="231F20"/>
          <w:spacing w:val="7"/>
        </w:rPr>
        <w:t>术治疗早期非小细胞肺癌近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期疗效差异[J].华夏医学，2018，31（3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6"/>
        </w:rPr>
        <w:t>58-</w:t>
      </w:r>
      <w:r>
        <w:rPr>
          <w:sz w:val="15"/>
          <w:szCs w:val="15"/>
          <w:color w:val="231F20"/>
          <w:spacing w:val="-7"/>
        </w:rPr>
        <w:t>60.</w:t>
      </w:r>
    </w:p>
    <w:p>
      <w:pPr>
        <w:pStyle w:val="BodyText"/>
        <w:ind w:left="324" w:right="53" w:hanging="324"/>
        <w:spacing w:before="43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[11]   刘刚，汪令伟，董林，等.两孔胸腔镜下肺段切除和肺叶切除治疗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3"/>
        </w:rPr>
        <w:t>早期非小细胞肺癌疗效比较[J].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3"/>
        </w:rPr>
        <w:t>同济大学学报（医学版</w:t>
      </w:r>
      <w:r>
        <w:rPr>
          <w:sz w:val="15"/>
          <w:szCs w:val="15"/>
          <w:color w:val="231F20"/>
          <w:spacing w:val="-23"/>
          <w:w w:val="64"/>
        </w:rPr>
        <w:t>），</w:t>
      </w:r>
      <w:r>
        <w:rPr>
          <w:sz w:val="15"/>
          <w:szCs w:val="15"/>
          <w:color w:val="231F20"/>
          <w:spacing w:val="3"/>
        </w:rPr>
        <w:t>2020，41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"/>
        </w:rPr>
        <w:t>235-239.</w:t>
      </w:r>
    </w:p>
    <w:p>
      <w:pPr>
        <w:pStyle w:val="BodyText"/>
        <w:ind w:left="324" w:right="53" w:hanging="324"/>
        <w:spacing w:before="45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[12]   徐少华，朱金陵，周晓，等.胸腔镜下肺叶切除术与开胸手术治疗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2"/>
        </w:rPr>
        <w:t>早期非小细胞肺癌的疗效比较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2"/>
        </w:rPr>
        <w:t>[J].  临床合理用药杂志，2018，11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（23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7"/>
        </w:rPr>
        <w:t>117-118.</w:t>
      </w:r>
    </w:p>
    <w:p>
      <w:pPr>
        <w:pStyle w:val="BodyText"/>
        <w:spacing w:before="45" w:line="206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（收稿日期：2021-05-03）</w:t>
      </w:r>
    </w:p>
    <w:p>
      <w:pPr>
        <w:spacing w:line="206" w:lineRule="auto"/>
        <w:sectPr>
          <w:type w:val="continuous"/>
          <w:pgSz w:w="11906" w:h="16158"/>
          <w:pgMar w:top="1031" w:right="944" w:bottom="1241" w:left="407" w:header="708" w:footer="945" w:gutter="0"/>
          <w:cols w:equalWidth="0" w:num="2">
            <w:col w:w="5635" w:space="100"/>
            <w:col w:w="4819" w:space="0"/>
          </w:cols>
        </w:sectPr>
        <w:rPr>
          <w:sz w:val="15"/>
          <w:szCs w:val="15"/>
        </w:rPr>
      </w:pPr>
    </w:p>
    <w:p>
      <w:pPr>
        <w:pStyle w:val="BodyText"/>
        <w:ind w:left="2479"/>
        <w:spacing w:before="321" w:line="191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1"/>
        </w:rPr>
        <w:t>腹腔镜下卵巢囊肿蒂扭转 24 例手术治疗</w:t>
      </w:r>
      <w:r>
        <w:rPr>
          <w:sz w:val="31"/>
          <w:szCs w:val="31"/>
          <w:color w:val="231F20"/>
        </w:rPr>
        <w:t>分析</w:t>
      </w:r>
    </w:p>
    <w:p>
      <w:pPr>
        <w:pStyle w:val="BodyText"/>
        <w:ind w:left="5230"/>
        <w:spacing w:before="170" w:line="192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杨</w:t>
      </w:r>
      <w:r>
        <w:rPr>
          <w:sz w:val="20"/>
          <w:szCs w:val="20"/>
          <w:color w:val="231F20"/>
        </w:rPr>
        <w:t xml:space="preserve">    </w:t>
      </w:r>
      <w:r>
        <w:rPr>
          <w:sz w:val="20"/>
          <w:szCs w:val="20"/>
          <w:color w:val="231F20"/>
          <w:spacing w:val="3"/>
        </w:rPr>
        <w:t>健</w:t>
      </w:r>
    </w:p>
    <w:p>
      <w:pPr>
        <w:pStyle w:val="BodyText"/>
        <w:ind w:left="4075"/>
        <w:spacing w:before="10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（运城市妇幼保健院，山西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2"/>
        </w:rPr>
        <w:t>运城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04400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0</w:t>
      </w:r>
      <w:r>
        <w:rPr>
          <w:sz w:val="15"/>
          <w:szCs w:val="15"/>
          <w:color w:val="231F20"/>
          <w:spacing w:val="1"/>
        </w:rPr>
        <w:t>）</w:t>
      </w:r>
    </w:p>
    <w:p>
      <w:pPr>
        <w:spacing w:before="37"/>
        <w:rPr/>
      </w:pPr>
      <w:r/>
    </w:p>
    <w:p>
      <w:pPr>
        <w:sectPr>
          <w:type w:val="continuous"/>
          <w:pgSz w:w="11906" w:h="16158"/>
          <w:pgMar w:top="1031" w:right="944" w:bottom="1241" w:left="407" w:header="708" w:footer="945" w:gutter="0"/>
          <w:cols w:equalWidth="0" w:num="1">
            <w:col w:w="10553" w:space="0"/>
          </w:cols>
        </w:sectPr>
        <w:rPr/>
      </w:pPr>
    </w:p>
    <w:p>
      <w:pPr>
        <w:pStyle w:val="BodyText"/>
        <w:ind w:left="603" w:right="185" w:firstLine="283"/>
        <w:spacing w:before="48" w:line="235" w:lineRule="auto"/>
        <w:jc w:val="both"/>
        <w:rPr/>
      </w:pPr>
      <w:r>
        <w:rPr>
          <w:color w:val="231F20"/>
          <w:spacing w:val="11"/>
        </w:rPr>
        <w:t>【摘要】 目的</w:t>
      </w:r>
      <w:r>
        <w:rPr>
          <w:color w:val="231F20"/>
          <w:spacing w:val="14"/>
          <w:w w:val="101"/>
        </w:rPr>
        <w:t xml:space="preserve">    </w:t>
      </w:r>
      <w:r>
        <w:rPr>
          <w:color w:val="231F20"/>
          <w:spacing w:val="11"/>
        </w:rPr>
        <w:t>探讨腹腔镜手术治疗卵巢囊肿蒂扭转的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效果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。方法    回顾性分析运城市妇幼保健院 2014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年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1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月—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2019 年 12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月腹腔镜手术治疗的 24 例卵巢囊肿蒂扭</w:t>
      </w:r>
      <w:r>
        <w:rPr>
          <w:color w:val="231F20"/>
          <w:spacing w:val="3"/>
        </w:rPr>
        <w:t>转患者的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临床资料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，其中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11 例行囊肿 +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9"/>
        </w:rPr>
        <w:t>患侧附件切除术（附件切除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组</w:t>
      </w:r>
      <w:r>
        <w:rPr>
          <w:color w:val="231F20"/>
          <w:spacing w:val="-21"/>
          <w:w w:val="51"/>
        </w:rPr>
        <w:t>），</w:t>
      </w:r>
      <w:r>
        <w:rPr>
          <w:color w:val="231F20"/>
          <w:spacing w:val="-6"/>
        </w:rPr>
        <w:t>13 例行卵巢保留的囊肿剥离术（保留卵</w:t>
      </w:r>
      <w:r>
        <w:rPr>
          <w:color w:val="231F20"/>
          <w:spacing w:val="-7"/>
        </w:rPr>
        <w:t>巢组）。结果    2 组患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者手术出血量、住院时间、平均手术时长差异均无统计学意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义（</w:t>
      </w:r>
      <w:r>
        <w:rPr>
          <w:rFonts w:ascii="Arial" w:hAnsi="Arial" w:eastAsia="Arial" w:cs="Arial"/>
          <w:color w:val="231F20"/>
          <w:spacing w:val="3"/>
        </w:rPr>
        <w:t>P</w:t>
      </w:r>
      <w:r>
        <w:rPr>
          <w:color w:val="231F20"/>
          <w:spacing w:val="3"/>
        </w:rPr>
        <w:t>&gt;0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.05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3"/>
        </w:rPr>
        <w:t>随访期性激素恢复水平卵巢保留组患者优于附件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切除组（</w:t>
      </w:r>
      <w:r>
        <w:rPr>
          <w:rFonts w:ascii="Arial" w:hAnsi="Arial" w:eastAsia="Arial" w:cs="Arial"/>
          <w:color w:val="231F20"/>
          <w:spacing w:val="-1"/>
        </w:rPr>
        <w:t>P</w:t>
      </w:r>
      <w:r>
        <w:rPr>
          <w:color w:val="231F20"/>
          <w:spacing w:val="-1"/>
        </w:rPr>
        <w:t>&lt;0.05）。 结论     不同病因所致的卵巢囊肿蒂扭转应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结合具体情况决定手术方式，病情允许时进行积极的保留卵巢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手术，具有良好的安全性及有效性。</w:t>
      </w:r>
    </w:p>
    <w:p>
      <w:pPr>
        <w:pStyle w:val="BodyText"/>
        <w:ind w:left="605" w:right="185" w:firstLine="280"/>
        <w:spacing w:before="1" w:line="237" w:lineRule="auto"/>
        <w:rPr/>
      </w:pPr>
      <w:r>
        <w:rPr>
          <w:color w:val="231F20"/>
          <w:spacing w:val="8"/>
        </w:rPr>
        <w:t>【关键词】 卵巢囊肿蒂扭转    腹腔镜  </w:t>
      </w:r>
      <w:r>
        <w:rPr>
          <w:color w:val="231F20"/>
          <w:spacing w:val="7"/>
        </w:rPr>
        <w:t xml:space="preserve">  保留卵巢    疗效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安全性</w:t>
      </w:r>
    </w:p>
    <w:p>
      <w:pPr>
        <w:pStyle w:val="BodyText"/>
        <w:ind w:left="978"/>
        <w:spacing w:before="1" w:line="186" w:lineRule="auto"/>
        <w:rPr/>
      </w:pPr>
      <w:r>
        <w:rPr>
          <w:color w:val="231F20"/>
          <w:spacing w:val="-4"/>
        </w:rPr>
        <w:t>中图分类号：R4    文献标识码：A</w:t>
      </w:r>
    </w:p>
    <w:p>
      <w:pPr>
        <w:pStyle w:val="BodyText"/>
        <w:ind w:left="949"/>
        <w:spacing w:before="57" w:line="196" w:lineRule="auto"/>
        <w:rPr/>
      </w:pPr>
      <w:r>
        <w:rPr>
          <w:color w:val="231F20"/>
          <w:spacing w:val="-12"/>
        </w:rPr>
        <w:t>文章编号：1672-1721（2021）22-3156-03</w:t>
      </w:r>
    </w:p>
    <w:p>
      <w:pPr>
        <w:pStyle w:val="BodyText"/>
        <w:ind w:left="959"/>
        <w:spacing w:before="48" w:line="189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4"/>
        </w:rPr>
        <w:t>DOI</w:t>
      </w:r>
      <w:r>
        <w:rPr>
          <w:color w:val="231F20"/>
          <w:spacing w:val="-4"/>
        </w:rPr>
        <w:t>：</w:t>
      </w:r>
      <w:r>
        <w:rPr>
          <w:rFonts w:ascii="Arial" w:hAnsi="Arial" w:eastAsia="Arial" w:cs="Arial"/>
          <w:color w:val="231F20"/>
          <w:spacing w:val="-4"/>
        </w:rPr>
        <w:t>10.19435/j.1672-1721.2021.22.021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03" w:right="185" w:firstLine="361"/>
        <w:spacing w:before="74" w:line="239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383539</wp:posOffset>
            </wp:positionH>
            <wp:positionV relativeFrom="paragraph">
              <wp:posOffset>834118</wp:posOffset>
            </wp:positionV>
            <wp:extent cx="750569" cy="761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56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卵巢囊肿（ovariancysts）是卵巢内或其表面形成的囊肿结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构，各年龄均可发病，以20~50 岁女性发病率最高，属于女性生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殖系统常见肿瘤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。卵巢囊肿蒂扭转是妇科常</w:t>
      </w:r>
      <w:r>
        <w:rPr>
          <w:color w:val="231F20"/>
          <w:spacing w:val="5"/>
        </w:rPr>
        <w:t>见急腹症，其临床</w:t>
      </w:r>
      <w:r>
        <w:rPr>
          <w:color w:val="231F20"/>
        </w:rPr>
        <w:t xml:space="preserve"> </w:t>
      </w:r>
      <w:r>
        <w:rPr>
          <w:color w:val="231F20"/>
        </w:rPr>
        <w:t>主要表现为急性腹痛腹胀，腹部包块，可伴呼吸困难、食欲下降</w:t>
      </w:r>
    </w:p>
    <w:p>
      <w:pPr>
        <w:pStyle w:val="BodyText"/>
        <w:ind w:left="923"/>
        <w:spacing w:before="141" w:line="15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作者简介：杨健，女，本科，主治医师。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"/>
        <w:spacing w:before="32" w:line="236" w:lineRule="auto"/>
        <w:jc w:val="both"/>
        <w:rPr/>
      </w:pPr>
      <w:r>
        <w:rPr>
          <w:color w:val="231F20"/>
          <w:spacing w:val="6"/>
        </w:rPr>
        <w:t>及恶心、发热等；妊娠期腹腔容积增加，卵巢囊肿活动空间加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大，卵巢囊肿发生蒂扭转的风险较非妊娠期增高 2~3 倍</w:t>
      </w:r>
      <w:r>
        <w:rPr>
          <w:sz w:val="10"/>
          <w:szCs w:val="10"/>
          <w:color w:val="231F20"/>
          <w:spacing w:val="-1"/>
          <w:position w:val="6"/>
        </w:rPr>
        <w:t>[1]</w:t>
      </w:r>
      <w:r>
        <w:rPr>
          <w:color w:val="231F20"/>
          <w:spacing w:val="-1"/>
        </w:rPr>
        <w:t>，且受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妊娠的影响，致早期诊断难度增加，同时更容易并发囊肿破裂，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其发生率为 3%-5%，较非妊娠期增加 3~5 倍</w:t>
      </w:r>
      <w:r>
        <w:rPr>
          <w:sz w:val="10"/>
          <w:szCs w:val="10"/>
          <w:color w:val="231F20"/>
          <w:position w:val="6"/>
        </w:rPr>
        <w:t>[2]</w:t>
      </w:r>
      <w:r>
        <w:rPr>
          <w:sz w:val="10"/>
          <w:szCs w:val="10"/>
          <w:color w:val="231F20"/>
          <w:spacing w:val="-9"/>
          <w:position w:val="6"/>
        </w:rPr>
        <w:t xml:space="preserve"> </w:t>
      </w:r>
      <w:r>
        <w:rPr>
          <w:color w:val="231F20"/>
        </w:rPr>
        <w:t>。一旦破裂可致  </w:t>
      </w:r>
      <w:r>
        <w:rPr>
          <w:color w:val="231F20"/>
        </w:rPr>
        <w:t>腹腔出血、感染，严重时可致感染性休克等，进而危及母体及胎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儿生命安全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。卵巢囊肿蒂扭转一经确诊即应尽快手术</w:t>
      </w:r>
      <w:r>
        <w:rPr>
          <w:color w:val="231F20"/>
          <w:spacing w:val="5"/>
        </w:rPr>
        <w:t>，传统手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术方式是开腹囊肿 + 患侧附件切除，近年来，随着腹腔镜技术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的推广及普及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，腹腔镜手术越来越受到广大医生及患者的重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视；尤其是腹腔镜下单纯卵巢囊肿剥离，保留患侧附件的手术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方式，对处于卵巢囊肿高发期的青春期及育龄期女性卵巢功能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的保留具有重要意义。运城市妇幼保健院 2014 年 1 月—2019 年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4"/>
        </w:rPr>
        <w:t>12 月共行腹腔镜下卵巢囊肿蒂扭转手术 24 例，现总结报告如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下。</w:t>
      </w:r>
    </w:p>
    <w:p>
      <w:pPr>
        <w:pStyle w:val="BodyText"/>
        <w:ind w:left="443"/>
        <w:spacing w:before="4" w:line="187" w:lineRule="auto"/>
        <w:rPr/>
      </w:pPr>
      <w:r>
        <w:rPr>
          <w:color w:val="231F20"/>
          <w:spacing w:val="2"/>
        </w:rPr>
        <w:t>1</w:t>
      </w:r>
      <w:r>
        <w:rPr>
          <w:color w:val="231F20"/>
          <w:spacing w:val="12"/>
          <w:w w:val="101"/>
        </w:rPr>
        <w:t xml:space="preserve">    </w:t>
      </w:r>
      <w:r>
        <w:rPr>
          <w:color w:val="231F20"/>
          <w:spacing w:val="2"/>
        </w:rPr>
        <w:t>资料与方法</w:t>
      </w:r>
    </w:p>
    <w:p>
      <w:pPr>
        <w:pStyle w:val="BodyText"/>
        <w:ind w:right="53" w:firstLine="445"/>
        <w:spacing w:before="45" w:line="237" w:lineRule="auto"/>
        <w:jc w:val="both"/>
        <w:rPr/>
      </w:pPr>
      <w:r>
        <w:rPr>
          <w:color w:val="231F20"/>
          <w:spacing w:val="-3"/>
        </w:rPr>
        <w:t>1.1    一般资料    选取 2014 年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1 月—2019 年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12 月在运城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市妇幼保健院行腹腔镜手术治疗的卵巢囊肿蒂扭转患者 24 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（妊娠期 9例，非妊娠期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15 例）,依据</w:t>
      </w:r>
      <w:r>
        <w:rPr>
          <w:color w:val="231F20"/>
          <w:spacing w:val="2"/>
        </w:rPr>
        <w:t>手术方式不同分为附件切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除组及保留卵巢组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。附件切除组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11 例，患者年龄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17~46 岁，平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均年龄（31.82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±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10.34）岁；囊肿直径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4~1</w:t>
      </w:r>
      <w:r>
        <w:rPr>
          <w:color w:val="231F20"/>
          <w:spacing w:val="-7"/>
        </w:rPr>
        <w:t>2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cm，平均（7.18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±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2.36）cm；起病时间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7"/>
        </w:rPr>
        <w:t>12~38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h，平均（26.00±8.21）h；扭转周数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2~4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，平均（2.91 ±0.70）周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。保留卵巢组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13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，患者年龄</w:t>
      </w:r>
    </w:p>
    <w:p>
      <w:pPr>
        <w:spacing w:line="237" w:lineRule="auto"/>
        <w:sectPr>
          <w:type w:val="continuous"/>
          <w:pgSz w:w="11906" w:h="16158"/>
          <w:pgMar w:top="1031" w:right="944" w:bottom="1241" w:left="407" w:header="708" w:footer="945" w:gutter="0"/>
          <w:cols w:equalWidth="0" w:num="2">
            <w:col w:w="5558" w:space="100"/>
            <w:col w:w="4896" w:space="0"/>
          </w:cols>
        </w:sectPr>
        <w:rPr/>
      </w:pPr>
    </w:p>
    <w:p>
      <w:pPr>
        <w:spacing w:line="217" w:lineRule="exact"/>
        <w:rPr/>
      </w:pPr>
      <w:r/>
    </w:p>
    <w:p>
      <w:pPr>
        <w:spacing w:line="217" w:lineRule="exact"/>
        <w:sectPr>
          <w:headerReference w:type="default" r:id="rId4"/>
          <w:footerReference w:type="default" r:id="rId5"/>
          <w:pgSz w:w="11906" w:h="16158"/>
          <w:pgMar w:top="1031" w:right="944" w:bottom="1236" w:left="407" w:header="708" w:footer="945" w:gutter="0"/>
          <w:cols w:equalWidth="0" w:num="1">
            <w:col w:w="10553" w:space="0"/>
          </w:cols>
        </w:sectPr>
        <w:rPr/>
      </w:pPr>
    </w:p>
    <w:p>
      <w:pPr>
        <w:pStyle w:val="BodyText"/>
        <w:ind w:left="530" w:right="185" w:firstLine="88"/>
        <w:spacing w:before="40" w:line="235" w:lineRule="auto"/>
        <w:jc w:val="both"/>
        <w:rPr/>
      </w:pPr>
      <w:r>
        <w:rPr>
          <w:color w:val="231F20"/>
          <w:spacing w:val="-12"/>
        </w:rPr>
        <w:t>16~49 岁，平均年龄（32.85±10.23）岁；囊肿直径 3~12 cm，平均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（6.92±2.50）cm；起病时间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1~26 h，平均（13.</w:t>
      </w:r>
      <w:r>
        <w:rPr>
          <w:color w:val="231F20"/>
          <w:spacing w:val="-14"/>
        </w:rPr>
        <w:t>08±7.50）h；扭转周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数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1~3 周，平均（1.77±0.73）周。</w:t>
      </w:r>
    </w:p>
    <w:p>
      <w:pPr>
        <w:pStyle w:val="BodyText"/>
        <w:ind w:left="604" w:right="185" w:firstLine="371"/>
        <w:spacing w:before="5" w:line="228" w:lineRule="auto"/>
        <w:rPr/>
      </w:pPr>
      <w:r>
        <w:rPr>
          <w:color w:val="231F20"/>
          <w:spacing w:val="8"/>
        </w:rPr>
        <w:t>1.2</w:t>
      </w:r>
      <w:r>
        <w:rPr>
          <w:color w:val="231F20"/>
          <w:spacing w:val="22"/>
        </w:rPr>
        <w:t xml:space="preserve">   </w:t>
      </w:r>
      <w:r>
        <w:rPr>
          <w:color w:val="231F20"/>
          <w:spacing w:val="8"/>
        </w:rPr>
        <w:t>临床表现   所有患者均以急性下腹痛就诊入院，其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中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14 例合并恶心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、呕吐，6 例合并发热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，囊</w:t>
      </w:r>
      <w:r>
        <w:rPr>
          <w:color w:val="231F20"/>
          <w:spacing w:val="5"/>
        </w:rPr>
        <w:t>肿破裂致腹腔出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血 2 例，无感染及感染性休克病例；22 例已婚患者行妇科检查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患侧附件区均有压痛，可触及不同大小的囊肿，质软、表面光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滑，活动度良好。</w:t>
      </w:r>
    </w:p>
    <w:p>
      <w:pPr>
        <w:pStyle w:val="BodyText"/>
        <w:ind w:left="601" w:right="121" w:firstLine="374"/>
        <w:spacing w:before="37" w:line="233" w:lineRule="auto"/>
        <w:rPr/>
      </w:pPr>
      <w:r>
        <w:rPr>
          <w:color w:val="231F20"/>
          <w:spacing w:val="8"/>
        </w:rPr>
        <w:t>1.3   手术方法    2 组患者均采用静吸复合气管</w:t>
      </w:r>
      <w:r>
        <w:rPr>
          <w:color w:val="231F20"/>
          <w:spacing w:val="7"/>
        </w:rPr>
        <w:t>内插管全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身麻醉，CO</w:t>
      </w:r>
      <w:r>
        <w:rPr>
          <w:sz w:val="10"/>
          <w:szCs w:val="10"/>
          <w:color w:val="231F20"/>
          <w:spacing w:val="-6"/>
          <w:position w:val="-2"/>
        </w:rPr>
        <w:t>2</w:t>
      </w:r>
      <w:r>
        <w:rPr>
          <w:sz w:val="10"/>
          <w:szCs w:val="10"/>
          <w:color w:val="231F20"/>
          <w:spacing w:val="20"/>
          <w:w w:val="102"/>
          <w:position w:val="-2"/>
        </w:rPr>
        <w:t xml:space="preserve"> </w:t>
      </w:r>
      <w:r>
        <w:rPr>
          <w:color w:val="231F20"/>
          <w:spacing w:val="-6"/>
        </w:rPr>
        <w:t>人工气腹，气腹压力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12 mm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Hg，使</w:t>
      </w:r>
      <w:r>
        <w:rPr>
          <w:color w:val="231F20"/>
          <w:spacing w:val="-7"/>
        </w:rPr>
        <w:t>用德国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STORZ</w:t>
      </w:r>
      <w:r>
        <w:rPr>
          <w:color w:val="231F20"/>
        </w:rPr>
        <w:t xml:space="preserve">  </w:t>
      </w:r>
      <w:r>
        <w:rPr>
          <w:color w:val="231F20"/>
        </w:rPr>
        <w:t>腹腔镜系统，3 孔穿刺，置入腹腔镜及操作器械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。镜下观察囊肿  </w:t>
      </w:r>
      <w:r>
        <w:rPr>
          <w:color w:val="231F20"/>
          <w:spacing w:val="-3"/>
        </w:rPr>
        <w:t>形态、扭转方向及周数，囊肿及附件的色泽</w:t>
      </w:r>
      <w:r>
        <w:rPr>
          <w:color w:val="231F20"/>
          <w:spacing w:val="-4"/>
        </w:rPr>
        <w:t>，有无破裂、出血等；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经验性判断系良性病变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。2 组患者均为急诊手术，受条件限制，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均未行术中冰冻病理检查，术后常规病理检查并证实系良性病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。保留卵巢组，13 例患者术中对于扭转疏松或扭转</w:t>
      </w:r>
      <w:r>
        <w:rPr>
          <w:color w:val="231F20"/>
          <w:spacing w:val="4"/>
        </w:rPr>
        <w:t>周数少、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囊肿及附件颜色呈正常或轻紫色者，直接将卵巢复位，并行囊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肿剥离术，保留患侧附件；对于囊肿及附件明显淤血坏死或呈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深紫黑色时，首先结扎患侧卵巢动静脉，从而防止扭转部继发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血栓向远端移位，将扭转囊肿及附件复位，观察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10~12 min，如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色泽明显变浅或恢复正常则行囊肿剥离术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。附件切除组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11 例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患者术中观察囊肿及附件均明显淤血坏死，呈深紫黑色，术中</w:t>
      </w:r>
    </w:p>
    <w:p>
      <w:pPr>
        <w:spacing w:line="4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8" w:right="53" w:hanging="14"/>
        <w:spacing w:before="37" w:line="236" w:lineRule="auto"/>
        <w:rPr/>
      </w:pPr>
      <w:r>
        <w:rPr>
          <w:color w:val="231F20"/>
          <w:spacing w:val="10"/>
        </w:rPr>
        <w:t>首先结扎患侧卵巢动静脉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0"/>
        </w:rPr>
        <w:t>，将扭转囊肿及附件复位后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，观察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10~12 min，颜色无变化，行囊肿</w:t>
      </w:r>
      <w:r>
        <w:rPr>
          <w:color w:val="231F20"/>
          <w:spacing w:val="-9"/>
        </w:rPr>
        <w:t xml:space="preserve"> + 附件切除术。</w:t>
      </w:r>
    </w:p>
    <w:p>
      <w:pPr>
        <w:pStyle w:val="BodyText"/>
        <w:ind w:left="72" w:right="53" w:firstLine="373"/>
        <w:spacing w:before="3" w:line="225" w:lineRule="auto"/>
        <w:rPr/>
      </w:pPr>
      <w:r>
        <w:rPr>
          <w:color w:val="231F20"/>
          <w:spacing w:val="2"/>
        </w:rPr>
        <w:t>1.4   观察指标   对比 2 组患者的术中出血量、住院时间及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性激素雌二醇（E</w:t>
      </w:r>
      <w:r>
        <w:rPr>
          <w:sz w:val="10"/>
          <w:szCs w:val="10"/>
          <w:color w:val="231F20"/>
          <w:spacing w:val="1"/>
          <w:position w:val="-2"/>
        </w:rPr>
        <w:t>2</w:t>
      </w:r>
      <w:r>
        <w:rPr>
          <w:color w:val="231F20"/>
          <w:spacing w:val="-15"/>
        </w:rPr>
        <w:t>）、卵泡刺激素（FSH）、促黄体生成素（LH）恢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复水平。</w:t>
      </w:r>
    </w:p>
    <w:p>
      <w:pPr>
        <w:pStyle w:val="BodyText"/>
        <w:ind w:left="77" w:right="53" w:firstLine="368"/>
        <w:spacing w:before="30" w:line="219" w:lineRule="auto"/>
        <w:rPr/>
      </w:pPr>
      <w:r>
        <w:pict>
          <v:shape id="_x0000_s6" style="position:absolute;margin-left:143.623pt;margin-top:2.07389pt;mso-position-vertical-relative:text;mso-position-horizontal-relative:text;width:3.4pt;height:0.2pt;z-index:-251657216;" filled="false" strokecolor="#231F20" strokeweight="0.19pt" coordsize="68,4" coordorigin="0,0" path="m0,1l67,1e">
            <v:stroke joinstyle="miter" miterlimit="10"/>
          </v:shape>
        </w:pict>
      </w:r>
      <w:r>
        <w:rPr>
          <w:color w:val="231F20"/>
          <w:spacing w:val="-3"/>
        </w:rPr>
        <w:t>1.5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3"/>
        </w:rPr>
        <w:t>统计学方法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3"/>
        </w:rPr>
        <w:t>计量资料以 </w:t>
      </w:r>
      <w:r>
        <w:rPr>
          <w:rFonts w:ascii="Arial" w:hAnsi="Arial" w:eastAsia="Arial" w:cs="Arial"/>
          <w:color w:val="231F20"/>
          <w:spacing w:val="-3"/>
        </w:rPr>
        <w:t>x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-3"/>
        </w:rPr>
        <w:t>± </w:t>
      </w:r>
      <w:r>
        <w:rPr>
          <w:rFonts w:ascii="Arial" w:hAnsi="Arial" w:eastAsia="Arial" w:cs="Arial"/>
          <w:color w:val="231F20"/>
          <w:spacing w:val="-3"/>
        </w:rPr>
        <w:t>s </w:t>
      </w:r>
      <w:r>
        <w:rPr>
          <w:color w:val="231F20"/>
          <w:spacing w:val="-3"/>
        </w:rPr>
        <w:t>表示，行 </w:t>
      </w:r>
      <w:r>
        <w:rPr>
          <w:rFonts w:ascii="Arial" w:hAnsi="Arial" w:eastAsia="Arial" w:cs="Arial"/>
          <w:color w:val="231F20"/>
          <w:spacing w:val="-3"/>
        </w:rPr>
        <w:t>t </w:t>
      </w:r>
      <w:r>
        <w:rPr>
          <w:color w:val="231F20"/>
          <w:spacing w:val="-3"/>
        </w:rPr>
        <w:t>检验，计数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资料以百分比表示，行</w:t>
      </w:r>
      <w:r>
        <w:rPr>
          <w:rFonts w:ascii="Arial" w:hAnsi="Arial" w:eastAsia="Arial" w:cs="Arial"/>
          <w:color w:val="231F20"/>
          <w:spacing w:val="-2"/>
        </w:rPr>
        <w:t>χ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6"/>
        </w:rPr>
        <w:t>2</w:t>
      </w:r>
      <w:r>
        <w:rPr>
          <w:rFonts w:ascii="Arial" w:hAnsi="Arial" w:eastAsia="Arial" w:cs="Arial"/>
          <w:sz w:val="10"/>
          <w:szCs w:val="10"/>
          <w:color w:val="231F20"/>
          <w:spacing w:val="19"/>
          <w:position w:val="6"/>
        </w:rPr>
        <w:t xml:space="preserve"> </w:t>
      </w:r>
      <w:r>
        <w:rPr>
          <w:color w:val="231F20"/>
          <w:spacing w:val="-2"/>
        </w:rPr>
        <w:t>检验，</w:t>
      </w:r>
      <w:r>
        <w:rPr>
          <w:rFonts w:ascii="Arial" w:hAnsi="Arial" w:eastAsia="Arial" w:cs="Arial"/>
          <w:color w:val="231F20"/>
          <w:spacing w:val="-2"/>
        </w:rPr>
        <w:t>P</w:t>
      </w:r>
      <w:r>
        <w:rPr>
          <w:color w:val="231F20"/>
          <w:spacing w:val="-2"/>
        </w:rPr>
        <w:t>&lt;0.05 为差异有统计学意义。</w:t>
      </w:r>
    </w:p>
    <w:p>
      <w:pPr>
        <w:pStyle w:val="BodyText"/>
        <w:ind w:left="431"/>
        <w:spacing w:before="53" w:line="188" w:lineRule="auto"/>
        <w:outlineLvl w:val="1"/>
        <w:rPr/>
      </w:pPr>
      <w:r>
        <w:rPr>
          <w:color w:val="231F20"/>
        </w:rPr>
        <w:t>2     结果</w:t>
      </w:r>
    </w:p>
    <w:p>
      <w:pPr>
        <w:pStyle w:val="BodyText"/>
        <w:ind w:left="85" w:right="53" w:firstLine="345"/>
        <w:spacing w:before="44" w:line="232" w:lineRule="auto"/>
        <w:rPr/>
      </w:pPr>
      <w:r>
        <w:pict>
          <v:shape id="_x0000_s8" style="position:absolute;margin-left:178.623pt;margin-top:30.3371pt;mso-position-vertical-relative:text;mso-position-horizontal-relative:text;width:2.75pt;height:0.2pt;z-index:-251656192;" filled="false" strokecolor="#231F20" strokeweight="0.19pt" coordsize="55,4" coordorigin="0,0" path="m0,1l54,1e">
            <v:stroke joinstyle="miter" miterlimit="10"/>
          </v:shape>
        </w:pict>
      </w:r>
      <w:r>
        <w:rPr>
          <w:color w:val="231F20"/>
          <w:spacing w:val="3"/>
        </w:rPr>
        <w:t>2.1   手术指标及住院时间    2 组病例在手术出血、</w:t>
      </w:r>
      <w:r>
        <w:rPr>
          <w:color w:val="231F20"/>
          <w:spacing w:val="2"/>
        </w:rPr>
        <w:t>住院时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间、平均手术时长差异均无统计学意义（</w:t>
      </w:r>
      <w:r>
        <w:rPr>
          <w:rFonts w:ascii="Arial" w:hAnsi="Arial" w:eastAsia="Arial" w:cs="Arial"/>
          <w:color w:val="231F20"/>
          <w:spacing w:val="-7"/>
        </w:rPr>
        <w:t>P</w:t>
      </w:r>
      <w:r>
        <w:rPr>
          <w:color w:val="231F20"/>
          <w:spacing w:val="-7"/>
        </w:rPr>
        <w:t>&gt;0.05）。见表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1。</w:t>
      </w:r>
    </w:p>
    <w:p>
      <w:pPr>
        <w:pStyle w:val="BodyText"/>
        <w:ind w:left="988"/>
        <w:spacing w:before="1" w:line="19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表 1    2 组手术指标及住院时间比较（</w:t>
      </w:r>
      <w:r>
        <w:rPr>
          <w:rFonts w:ascii="Arial" w:hAnsi="Arial" w:eastAsia="Arial" w:cs="Arial"/>
          <w:sz w:val="15"/>
          <w:szCs w:val="15"/>
          <w:color w:val="231F20"/>
        </w:rPr>
        <w:t>x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±</w:t>
      </w:r>
      <w:r>
        <w:rPr>
          <w:rFonts w:ascii="Arial" w:hAnsi="Arial" w:eastAsia="Arial" w:cs="Arial"/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</w:rPr>
        <w:t>）</w:t>
      </w:r>
    </w:p>
    <w:p>
      <w:pPr>
        <w:spacing w:line="3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65" w:type="dxa"/>
        <w:tblInd w:w="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6"/>
        <w:gridCol w:w="456"/>
        <w:gridCol w:w="968"/>
        <w:gridCol w:w="1016"/>
        <w:gridCol w:w="1409"/>
      </w:tblGrid>
      <w:tr>
        <w:trPr>
          <w:trHeight w:val="524" w:hRule="atLeast"/>
        </w:trPr>
        <w:tc>
          <w:tcPr>
            <w:tcW w:w="9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0"/>
              <w:spacing w:before="181" w:line="198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45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0"/>
              <w:spacing w:before="173" w:line="197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9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4"/>
              <w:spacing w:before="52" w:line="200" w:lineRule="auto"/>
              <w:rPr/>
            </w:pPr>
            <w:r>
              <w:rPr>
                <w:color w:val="231F20"/>
                <w:spacing w:val="4"/>
              </w:rPr>
              <w:t>出血量</w:t>
            </w:r>
          </w:p>
          <w:p>
            <w:pPr>
              <w:pStyle w:val="TableText"/>
              <w:ind w:left="207"/>
              <w:spacing w:before="45" w:line="188" w:lineRule="auto"/>
              <w:rPr/>
            </w:pPr>
            <w:r>
              <w:rPr>
                <w:color w:val="231F20"/>
                <w:spacing w:val="-7"/>
              </w:rPr>
              <w:t>（mL）</w:t>
            </w:r>
          </w:p>
        </w:tc>
        <w:tc>
          <w:tcPr>
            <w:tcW w:w="10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8"/>
              <w:spacing w:before="51" w:line="204" w:lineRule="auto"/>
              <w:rPr/>
            </w:pPr>
            <w:r>
              <w:rPr>
                <w:color w:val="231F20"/>
                <w:spacing w:val="8"/>
              </w:rPr>
              <w:t>住院时间</w:t>
            </w:r>
          </w:p>
          <w:p>
            <w:pPr>
              <w:pStyle w:val="TableText"/>
              <w:ind w:left="285"/>
              <w:spacing w:before="41" w:line="188" w:lineRule="auto"/>
              <w:rPr/>
            </w:pPr>
            <w:r>
              <w:rPr>
                <w:color w:val="231F20"/>
                <w:spacing w:val="-9"/>
              </w:rPr>
              <w:t>（d）</w:t>
            </w:r>
          </w:p>
        </w:tc>
        <w:tc>
          <w:tcPr>
            <w:tcW w:w="140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2"/>
              <w:spacing w:before="42" w:line="211" w:lineRule="auto"/>
              <w:rPr/>
            </w:pPr>
            <w:r>
              <w:rPr>
                <w:color w:val="231F20"/>
                <w:spacing w:val="8"/>
              </w:rPr>
              <w:t>平均手术时长</w:t>
            </w:r>
          </w:p>
          <w:p>
            <w:pPr>
              <w:pStyle w:val="TableText"/>
              <w:ind w:left="420"/>
              <w:spacing w:before="43" w:line="188" w:lineRule="auto"/>
              <w:rPr/>
            </w:pPr>
            <w:r>
              <w:rPr>
                <w:color w:val="231F20"/>
                <w:spacing w:val="-10"/>
              </w:rPr>
              <w:t>（min）</w:t>
            </w:r>
          </w:p>
        </w:tc>
      </w:tr>
      <w:tr>
        <w:trPr>
          <w:trHeight w:val="272" w:hRule="atLeast"/>
        </w:trPr>
        <w:tc>
          <w:tcPr>
            <w:tcW w:w="9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52" w:line="195" w:lineRule="auto"/>
              <w:rPr/>
            </w:pPr>
            <w:r>
              <w:rPr>
                <w:color w:val="231F20"/>
                <w:spacing w:val="6"/>
              </w:rPr>
              <w:t>附件切除组</w:t>
            </w:r>
          </w:p>
        </w:tc>
        <w:tc>
          <w:tcPr>
            <w:tcW w:w="4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3"/>
              <w:spacing w:before="61" w:line="187" w:lineRule="auto"/>
              <w:rPr/>
            </w:pPr>
            <w:r>
              <w:rPr>
                <w:color w:val="231F20"/>
                <w:spacing w:val="-14"/>
              </w:rPr>
              <w:t>11</w:t>
            </w:r>
          </w:p>
        </w:tc>
        <w:tc>
          <w:tcPr>
            <w:tcW w:w="9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60" w:line="188" w:lineRule="auto"/>
              <w:rPr/>
            </w:pPr>
            <w:r>
              <w:rPr>
                <w:color w:val="231F20"/>
                <w:spacing w:val="-1"/>
              </w:rPr>
              <w:t>30.00±7.20</w:t>
            </w:r>
          </w:p>
        </w:tc>
        <w:tc>
          <w:tcPr>
            <w:tcW w:w="10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9"/>
              <w:spacing w:before="60" w:line="188" w:lineRule="auto"/>
              <w:rPr/>
            </w:pPr>
            <w:r>
              <w:rPr>
                <w:color w:val="231F20"/>
                <w:spacing w:val="-4"/>
              </w:rPr>
              <w:t>4.45 ±0.69</w:t>
            </w:r>
          </w:p>
        </w:tc>
        <w:tc>
          <w:tcPr>
            <w:tcW w:w="14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4"/>
              <w:spacing w:before="60" w:line="188" w:lineRule="auto"/>
              <w:rPr/>
            </w:pPr>
            <w:r>
              <w:rPr>
                <w:color w:val="231F20"/>
                <w:spacing w:val="-1"/>
              </w:rPr>
              <w:t>54.00±5.27</w:t>
            </w:r>
          </w:p>
        </w:tc>
      </w:tr>
      <w:tr>
        <w:trPr>
          <w:trHeight w:val="292" w:hRule="atLeast"/>
        </w:trPr>
        <w:tc>
          <w:tcPr>
            <w:tcW w:w="916" w:type="dxa"/>
            <w:vAlign w:val="top"/>
          </w:tcPr>
          <w:p>
            <w:pPr>
              <w:pStyle w:val="TableText"/>
              <w:ind w:left="60"/>
              <w:spacing w:before="71" w:line="196" w:lineRule="auto"/>
              <w:rPr/>
            </w:pPr>
            <w:r>
              <w:rPr>
                <w:color w:val="231F20"/>
                <w:spacing w:val="8"/>
              </w:rPr>
              <w:t>保留卵巢组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143"/>
              <w:spacing w:before="72" w:line="195" w:lineRule="auto"/>
              <w:rPr/>
            </w:pPr>
            <w:r>
              <w:rPr>
                <w:color w:val="231F20"/>
                <w:spacing w:val="-14"/>
              </w:rPr>
              <w:t>13</w:t>
            </w:r>
          </w:p>
        </w:tc>
        <w:tc>
          <w:tcPr>
            <w:tcW w:w="968" w:type="dxa"/>
            <w:vAlign w:val="top"/>
          </w:tcPr>
          <w:p>
            <w:pPr>
              <w:pStyle w:val="TableText"/>
              <w:ind w:left="76"/>
              <w:spacing w:before="71" w:line="196" w:lineRule="auto"/>
              <w:rPr/>
            </w:pPr>
            <w:r>
              <w:rPr>
                <w:color w:val="231F20"/>
                <w:spacing w:val="-5"/>
              </w:rPr>
              <w:t>31.15 ±7.95</w:t>
            </w:r>
          </w:p>
        </w:tc>
        <w:tc>
          <w:tcPr>
            <w:tcW w:w="1016" w:type="dxa"/>
            <w:vAlign w:val="top"/>
          </w:tcPr>
          <w:p>
            <w:pPr>
              <w:pStyle w:val="TableText"/>
              <w:ind w:left="109"/>
              <w:spacing w:before="71" w:line="196" w:lineRule="auto"/>
              <w:rPr/>
            </w:pPr>
            <w:r>
              <w:rPr>
                <w:color w:val="231F20"/>
              </w:rPr>
              <w:t>4.46±0.66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284"/>
              <w:spacing w:before="71" w:line="196" w:lineRule="auto"/>
              <w:rPr/>
            </w:pPr>
            <w:r>
              <w:rPr>
                <w:color w:val="231F20"/>
                <w:spacing w:val="-1"/>
              </w:rPr>
              <w:t>58.62±7.05</w:t>
            </w:r>
          </w:p>
        </w:tc>
      </w:tr>
      <w:tr>
        <w:trPr>
          <w:trHeight w:val="273" w:hRule="atLeast"/>
        </w:trPr>
        <w:tc>
          <w:tcPr>
            <w:tcW w:w="916" w:type="dxa"/>
            <w:vAlign w:val="top"/>
          </w:tcPr>
          <w:p>
            <w:pPr>
              <w:ind w:left="435"/>
              <w:spacing w:before="89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t</w:t>
            </w:r>
          </w:p>
        </w:tc>
        <w:tc>
          <w:tcPr>
            <w:tcW w:w="4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8" w:type="dxa"/>
            <w:vAlign w:val="top"/>
          </w:tcPr>
          <w:p>
            <w:pPr>
              <w:pStyle w:val="TableText"/>
              <w:ind w:left="331"/>
              <w:spacing w:before="64" w:line="185" w:lineRule="auto"/>
              <w:rPr/>
            </w:pPr>
            <w:r>
              <w:rPr>
                <w:color w:val="231F20"/>
                <w:spacing w:val="-5"/>
              </w:rPr>
              <w:t>0.37</w:t>
            </w:r>
          </w:p>
        </w:tc>
        <w:tc>
          <w:tcPr>
            <w:tcW w:w="1016" w:type="dxa"/>
            <w:vAlign w:val="top"/>
          </w:tcPr>
          <w:p>
            <w:pPr>
              <w:pStyle w:val="TableText"/>
              <w:ind w:left="289"/>
              <w:spacing w:before="64" w:line="185" w:lineRule="auto"/>
              <w:rPr/>
            </w:pPr>
            <w:r>
              <w:rPr>
                <w:color w:val="231F20"/>
                <w:spacing w:val="-6"/>
              </w:rPr>
              <w:t>0.025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515"/>
              <w:spacing w:before="64" w:line="185" w:lineRule="auto"/>
              <w:rPr/>
            </w:pPr>
            <w:r>
              <w:rPr>
                <w:color w:val="231F20"/>
                <w:spacing w:val="-9"/>
              </w:rPr>
              <w:t>1.786</w:t>
            </w:r>
          </w:p>
        </w:tc>
      </w:tr>
      <w:tr>
        <w:trPr>
          <w:trHeight w:val="290" w:hRule="atLeast"/>
        </w:trPr>
        <w:tc>
          <w:tcPr>
            <w:tcW w:w="916" w:type="dxa"/>
            <w:vAlign w:val="top"/>
            <w:tcBorders>
              <w:bottom w:val="single" w:color="231F20" w:sz="6" w:space="0"/>
            </w:tcBorders>
          </w:tcPr>
          <w:p>
            <w:pPr>
              <w:ind w:left="410"/>
              <w:spacing w:before="100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P</w:t>
            </w:r>
          </w:p>
        </w:tc>
        <w:tc>
          <w:tcPr>
            <w:tcW w:w="456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2"/>
              <w:spacing w:before="75" w:line="191" w:lineRule="auto"/>
              <w:rPr/>
            </w:pPr>
            <w:r>
              <w:rPr>
                <w:color w:val="231F20"/>
                <w:spacing w:val="-10"/>
              </w:rPr>
              <w:t>&gt;0.05</w:t>
            </w:r>
          </w:p>
        </w:tc>
        <w:tc>
          <w:tcPr>
            <w:tcW w:w="10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8"/>
              <w:spacing w:before="75" w:line="191" w:lineRule="auto"/>
              <w:rPr/>
            </w:pPr>
            <w:r>
              <w:rPr>
                <w:color w:val="231F20"/>
                <w:spacing w:val="-10"/>
              </w:rPr>
              <w:t>&gt;0.05</w:t>
            </w:r>
          </w:p>
        </w:tc>
        <w:tc>
          <w:tcPr>
            <w:tcW w:w="140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1"/>
              <w:spacing w:before="75" w:line="191" w:lineRule="auto"/>
              <w:rPr/>
            </w:pPr>
            <w:r>
              <w:rPr>
                <w:color w:val="231F20"/>
                <w:spacing w:val="-10"/>
              </w:rPr>
              <w:t>&gt;0.05</w:t>
            </w:r>
          </w:p>
        </w:tc>
      </w:tr>
    </w:tbl>
    <w:p>
      <w:pPr>
        <w:pStyle w:val="BodyText"/>
        <w:ind w:right="53" w:firstLine="431"/>
        <w:spacing w:before="109"/>
        <w:jc w:val="both"/>
        <w:rPr/>
      </w:pPr>
      <w:r>
        <w:rPr>
          <w:color w:val="231F20"/>
          <w:spacing w:val="11"/>
        </w:rPr>
        <w:t>2.2</w:t>
      </w:r>
      <w:r>
        <w:rPr>
          <w:color w:val="231F20"/>
          <w:spacing w:val="6"/>
        </w:rPr>
        <w:t xml:space="preserve">    </w:t>
      </w:r>
      <w:r>
        <w:rPr>
          <w:color w:val="231F20"/>
          <w:spacing w:val="11"/>
        </w:rPr>
        <w:t>2 组性激素水平对比    卵巢保留组在术后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1"/>
        </w:rPr>
        <w:t>1.5 个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月时性激素恢复方面优于附件切除组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2"/>
        </w:rPr>
        <w:t>，差异有统</w:t>
      </w:r>
      <w:r>
        <w:rPr>
          <w:color w:val="231F20"/>
          <w:spacing w:val="21"/>
        </w:rPr>
        <w:t>计学意义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（</w:t>
      </w:r>
      <w:r>
        <w:rPr>
          <w:rFonts w:ascii="Arial" w:hAnsi="Arial" w:eastAsia="Arial" w:cs="Arial"/>
          <w:color w:val="231F20"/>
          <w:spacing w:val="-10"/>
        </w:rPr>
        <w:t>P</w:t>
      </w:r>
      <w:r>
        <w:rPr>
          <w:color w:val="231F20"/>
          <w:spacing w:val="-10"/>
        </w:rPr>
        <w:t>&lt;0.05）。见表 2。</w:t>
      </w:r>
    </w:p>
    <w:p>
      <w:pPr>
        <w:sectPr>
          <w:type w:val="continuous"/>
          <w:pgSz w:w="11906" w:h="16158"/>
          <w:pgMar w:top="1031" w:right="944" w:bottom="1236" w:left="407" w:header="708" w:footer="945" w:gutter="0"/>
          <w:cols w:equalWidth="0" w:num="2">
            <w:col w:w="5558" w:space="100"/>
            <w:col w:w="4896" w:space="0"/>
          </w:cols>
        </w:sectPr>
        <w:rPr/>
      </w:pPr>
    </w:p>
    <w:p>
      <w:pPr>
        <w:pStyle w:val="BodyText"/>
        <w:ind w:left="3991"/>
        <w:spacing w:before="123" w:line="197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表 2    2 组患者术后 1.5 个月性激素水平比较</w:t>
      </w:r>
    </w:p>
    <w:tbl>
      <w:tblPr>
        <w:tblStyle w:val="TableNormal"/>
        <w:tblW w:w="8503" w:type="dxa"/>
        <w:tblInd w:w="12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7"/>
        <w:gridCol w:w="909"/>
        <w:gridCol w:w="747"/>
        <w:gridCol w:w="590"/>
        <w:gridCol w:w="913"/>
        <w:gridCol w:w="614"/>
        <w:gridCol w:w="599"/>
        <w:gridCol w:w="617"/>
        <w:gridCol w:w="911"/>
        <w:gridCol w:w="597"/>
        <w:gridCol w:w="789"/>
      </w:tblGrid>
      <w:tr>
        <w:trPr>
          <w:trHeight w:val="272" w:hRule="atLeast"/>
        </w:trPr>
        <w:tc>
          <w:tcPr>
            <w:tcW w:w="1217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375"/>
              <w:spacing w:before="55" w:line="198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90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341"/>
              <w:spacing w:before="56" w:line="221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2250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99"/>
              <w:spacing w:before="81" w:line="168" w:lineRule="auto"/>
              <w:rPr>
                <w:sz w:val="8"/>
                <w:szCs w:val="8"/>
              </w:rPr>
            </w:pPr>
            <w:r>
              <w:rPr>
                <w:color w:val="231F20"/>
                <w:spacing w:val="5"/>
              </w:rPr>
              <w:t>E</w:t>
            </w:r>
            <w:r>
              <w:rPr>
                <w:sz w:val="8"/>
                <w:szCs w:val="8"/>
                <w:color w:val="231F20"/>
                <w:spacing w:val="5"/>
                <w:position w:val="-1"/>
              </w:rPr>
              <w:t>2</w:t>
            </w:r>
          </w:p>
        </w:tc>
        <w:tc>
          <w:tcPr>
            <w:tcW w:w="1830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05"/>
              <w:spacing w:before="79" w:line="165" w:lineRule="auto"/>
              <w:rPr/>
            </w:pPr>
            <w:r>
              <w:rPr>
                <w:color w:val="231F20"/>
                <w:spacing w:val="-2"/>
              </w:rPr>
              <w:t>FSH</w:t>
            </w:r>
          </w:p>
        </w:tc>
        <w:tc>
          <w:tcPr>
            <w:tcW w:w="2297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39"/>
              <w:spacing w:before="82" w:line="163" w:lineRule="auto"/>
              <w:rPr/>
            </w:pPr>
            <w:r>
              <w:rPr>
                <w:color w:val="231F20"/>
                <w:spacing w:val="2"/>
              </w:rPr>
              <w:t>LH</w:t>
            </w:r>
          </w:p>
        </w:tc>
      </w:tr>
      <w:tr>
        <w:trPr>
          <w:trHeight w:val="278" w:hRule="atLeast"/>
        </w:trPr>
        <w:tc>
          <w:tcPr>
            <w:tcW w:w="121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7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6"/>
              <w:spacing w:before="61" w:line="189" w:lineRule="auto"/>
              <w:rPr/>
            </w:pPr>
            <w:r>
              <w:rPr>
                <w:color w:val="231F20"/>
                <w:spacing w:val="6"/>
              </w:rPr>
              <w:t>正常</w:t>
            </w:r>
          </w:p>
        </w:tc>
        <w:tc>
          <w:tcPr>
            <w:tcW w:w="91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2"/>
              <w:spacing w:before="52" w:line="199" w:lineRule="auto"/>
              <w:rPr/>
            </w:pPr>
            <w:r>
              <w:rPr>
                <w:color w:val="231F20"/>
                <w:spacing w:val="6"/>
              </w:rPr>
              <w:t>异常</w:t>
            </w:r>
          </w:p>
        </w:tc>
        <w:tc>
          <w:tcPr>
            <w:tcW w:w="1213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52"/>
              <w:spacing w:before="61" w:line="189" w:lineRule="auto"/>
              <w:rPr/>
            </w:pPr>
            <w:r>
              <w:rPr>
                <w:color w:val="231F20"/>
                <w:spacing w:val="6"/>
              </w:rPr>
              <w:t>正常</w:t>
            </w:r>
          </w:p>
        </w:tc>
        <w:tc>
          <w:tcPr>
            <w:tcW w:w="61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2"/>
              <w:spacing w:before="52" w:line="199" w:lineRule="auto"/>
              <w:rPr/>
            </w:pPr>
            <w:r>
              <w:rPr>
                <w:color w:val="231F20"/>
                <w:spacing w:val="6"/>
              </w:rPr>
              <w:t>异常</w:t>
            </w:r>
          </w:p>
        </w:tc>
        <w:tc>
          <w:tcPr>
            <w:tcW w:w="1508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48"/>
              <w:spacing w:before="61" w:line="189" w:lineRule="auto"/>
              <w:rPr/>
            </w:pPr>
            <w:r>
              <w:rPr>
                <w:color w:val="231F20"/>
                <w:spacing w:val="6"/>
              </w:rPr>
              <w:t>正常</w:t>
            </w:r>
          </w:p>
        </w:tc>
        <w:tc>
          <w:tcPr>
            <w:tcW w:w="78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3"/>
              <w:spacing w:before="52" w:line="199" w:lineRule="auto"/>
              <w:rPr/>
            </w:pPr>
            <w:r>
              <w:rPr>
                <w:color w:val="231F20"/>
                <w:spacing w:val="6"/>
              </w:rPr>
              <w:t>异常</w:t>
            </w:r>
          </w:p>
        </w:tc>
      </w:tr>
      <w:tr>
        <w:trPr>
          <w:trHeight w:val="272" w:hRule="atLeast"/>
        </w:trPr>
        <w:tc>
          <w:tcPr>
            <w:tcW w:w="12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6"/>
              <w:spacing w:before="53" w:line="194" w:lineRule="auto"/>
              <w:rPr/>
            </w:pPr>
            <w:r>
              <w:rPr>
                <w:color w:val="231F20"/>
                <w:spacing w:val="6"/>
              </w:rPr>
              <w:t>附件切除组</w:t>
            </w:r>
          </w:p>
        </w:tc>
        <w:tc>
          <w:tcPr>
            <w:tcW w:w="9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5"/>
              <w:spacing w:before="63" w:line="185" w:lineRule="auto"/>
              <w:rPr/>
            </w:pPr>
            <w:r>
              <w:rPr>
                <w:color w:val="231F20"/>
                <w:spacing w:val="-14"/>
              </w:rPr>
              <w:t>11</w:t>
            </w:r>
          </w:p>
        </w:tc>
        <w:tc>
          <w:tcPr>
            <w:tcW w:w="7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4"/>
              <w:spacing w:before="63" w:line="185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590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1"/>
              <w:spacing w:before="63" w:line="185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6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0"/>
              <w:spacing w:before="63" w:line="185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59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/>
              <w:spacing w:before="63" w:line="185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9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63"/>
              <w:spacing w:before="63" w:line="185" w:lineRule="auto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59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/>
              <w:spacing w:before="63" w:line="185" w:lineRule="auto"/>
              <w:rPr/>
            </w:pPr>
            <w:r>
              <w:rPr>
                <w:color w:val="231F20"/>
              </w:rPr>
              <w:t>7</w:t>
            </w:r>
          </w:p>
        </w:tc>
      </w:tr>
      <w:tr>
        <w:trPr>
          <w:trHeight w:val="287" w:hRule="atLeast"/>
        </w:trPr>
        <w:tc>
          <w:tcPr>
            <w:tcW w:w="1217" w:type="dxa"/>
            <w:vAlign w:val="top"/>
          </w:tcPr>
          <w:p>
            <w:pPr>
              <w:pStyle w:val="TableText"/>
              <w:ind w:left="135"/>
              <w:spacing w:before="73" w:line="190" w:lineRule="auto"/>
              <w:rPr/>
            </w:pPr>
            <w:r>
              <w:rPr>
                <w:color w:val="231F20"/>
                <w:spacing w:val="8"/>
              </w:rPr>
              <w:t>保留卵巢组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95"/>
              <w:spacing w:before="74" w:line="189" w:lineRule="auto"/>
              <w:rPr/>
            </w:pPr>
            <w:r>
              <w:rPr>
                <w:color w:val="231F20"/>
                <w:spacing w:val="-14"/>
              </w:rPr>
              <w:t>13</w:t>
            </w:r>
          </w:p>
        </w:tc>
        <w:tc>
          <w:tcPr>
            <w:tcW w:w="747" w:type="dxa"/>
            <w:vAlign w:val="top"/>
          </w:tcPr>
          <w:p>
            <w:pPr>
              <w:pStyle w:val="TableText"/>
              <w:ind w:left="469"/>
              <w:spacing w:before="74" w:line="189" w:lineRule="auto"/>
              <w:rPr/>
            </w:pPr>
            <w:r>
              <w:rPr>
                <w:color w:val="231F20"/>
                <w:spacing w:val="-14"/>
              </w:rPr>
              <w:t>12</w:t>
            </w:r>
          </w:p>
        </w:tc>
        <w:tc>
          <w:tcPr>
            <w:tcW w:w="5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3" w:type="dxa"/>
            <w:vAlign w:val="top"/>
          </w:tcPr>
          <w:p>
            <w:pPr>
              <w:pStyle w:val="TableText"/>
              <w:ind w:left="233"/>
              <w:spacing w:before="74" w:line="189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614" w:type="dxa"/>
            <w:vAlign w:val="top"/>
          </w:tcPr>
          <w:p>
            <w:pPr>
              <w:pStyle w:val="TableText"/>
              <w:ind w:left="344"/>
              <w:spacing w:before="74" w:line="189" w:lineRule="auto"/>
              <w:rPr/>
            </w:pPr>
            <w:r>
              <w:rPr>
                <w:color w:val="231F20"/>
                <w:spacing w:val="-14"/>
              </w:rPr>
              <w:t>12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7" w:type="dxa"/>
            <w:vAlign w:val="top"/>
          </w:tcPr>
          <w:p>
            <w:pPr>
              <w:pStyle w:val="TableText"/>
              <w:ind w:left="233"/>
              <w:spacing w:before="74" w:line="189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640"/>
              <w:spacing w:before="74" w:line="189" w:lineRule="auto"/>
              <w:rPr/>
            </w:pPr>
            <w:r>
              <w:rPr>
                <w:color w:val="231F20"/>
                <w:spacing w:val="-14"/>
              </w:rPr>
              <w:t>11</w:t>
            </w:r>
          </w:p>
        </w:tc>
        <w:tc>
          <w:tcPr>
            <w:tcW w:w="59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pStyle w:val="TableText"/>
              <w:ind w:left="220"/>
              <w:spacing w:before="74" w:line="189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294" w:hRule="atLeast"/>
        </w:trPr>
        <w:tc>
          <w:tcPr>
            <w:tcW w:w="1217" w:type="dxa"/>
            <w:vAlign w:val="top"/>
          </w:tcPr>
          <w:p>
            <w:pPr>
              <w:ind w:left="448"/>
              <w:spacing w:before="82" w:line="217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9"/>
                <w:position w:val="-1"/>
              </w:rPr>
              <w:t>χ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9"/>
                <w:position w:val="4"/>
              </w:rPr>
              <w:t>2</w:t>
            </w:r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0" w:type="dxa"/>
            <w:vAlign w:val="top"/>
          </w:tcPr>
          <w:p>
            <w:pPr>
              <w:pStyle w:val="TableText"/>
              <w:ind w:left="142"/>
              <w:spacing w:before="70" w:line="199" w:lineRule="auto"/>
              <w:rPr/>
            </w:pPr>
            <w:r>
              <w:rPr>
                <w:color w:val="231F20"/>
                <w:spacing w:val="-6"/>
              </w:rPr>
              <w:t>6.331</w:t>
            </w:r>
          </w:p>
        </w:tc>
        <w:tc>
          <w:tcPr>
            <w:tcW w:w="9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pStyle w:val="TableText"/>
              <w:ind w:left="132"/>
              <w:spacing w:before="70" w:line="199" w:lineRule="auto"/>
              <w:rPr/>
            </w:pPr>
            <w:r>
              <w:rPr>
                <w:color w:val="231F20"/>
                <w:spacing w:val="-6"/>
              </w:rPr>
              <w:t>6.331</w:t>
            </w:r>
          </w:p>
        </w:tc>
        <w:tc>
          <w:tcPr>
            <w:tcW w:w="6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7" w:type="dxa"/>
            <w:vAlign w:val="top"/>
          </w:tcPr>
          <w:p>
            <w:pPr>
              <w:pStyle w:val="TableText"/>
              <w:ind w:left="149"/>
              <w:spacing w:before="70" w:line="199" w:lineRule="auto"/>
              <w:rPr/>
            </w:pPr>
            <w:r>
              <w:rPr>
                <w:color w:val="231F20"/>
                <w:spacing w:val="-6"/>
              </w:rPr>
              <w:t>5.919</w:t>
            </w:r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4" w:hRule="atLeast"/>
        </w:trPr>
        <w:tc>
          <w:tcPr>
            <w:tcW w:w="1217" w:type="dxa"/>
            <w:vAlign w:val="top"/>
            <w:tcBorders>
              <w:bottom w:val="single" w:color="231F20" w:sz="6" w:space="0"/>
            </w:tcBorders>
          </w:tcPr>
          <w:p>
            <w:pPr>
              <w:ind w:left="486"/>
              <w:spacing w:before="85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P</w:t>
            </w:r>
          </w:p>
        </w:tc>
        <w:tc>
          <w:tcPr>
            <w:tcW w:w="909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7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0"/>
              <w:spacing w:before="60" w:line="190" w:lineRule="auto"/>
              <w:rPr/>
            </w:pPr>
            <w:r>
              <w:rPr>
                <w:color w:val="231F20"/>
                <w:spacing w:val="-10"/>
              </w:rPr>
              <w:t>&lt;0.05</w:t>
            </w:r>
          </w:p>
        </w:tc>
        <w:tc>
          <w:tcPr>
            <w:tcW w:w="913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9"/>
              <w:spacing w:before="60" w:line="190" w:lineRule="auto"/>
              <w:rPr/>
            </w:pPr>
            <w:r>
              <w:rPr>
                <w:color w:val="231F20"/>
                <w:spacing w:val="-10"/>
              </w:rPr>
              <w:t>&lt;0.05</w:t>
            </w:r>
          </w:p>
        </w:tc>
        <w:tc>
          <w:tcPr>
            <w:tcW w:w="617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1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7"/>
              <w:spacing w:before="60" w:line="190" w:lineRule="auto"/>
              <w:rPr/>
            </w:pPr>
            <w:r>
              <w:rPr>
                <w:color w:val="231F20"/>
                <w:spacing w:val="-10"/>
              </w:rPr>
              <w:t>&lt;0.05</w:t>
            </w:r>
          </w:p>
        </w:tc>
        <w:tc>
          <w:tcPr>
            <w:tcW w:w="789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66" w:lineRule="exact"/>
        <w:rPr>
          <w:rFonts w:ascii="Arial"/>
          <w:sz w:val="5"/>
        </w:rPr>
      </w:pPr>
      <w:r/>
    </w:p>
    <w:p>
      <w:pPr>
        <w:spacing w:line="66" w:lineRule="exact"/>
        <w:sectPr>
          <w:type w:val="continuous"/>
          <w:pgSz w:w="11906" w:h="16158"/>
          <w:pgMar w:top="1031" w:right="944" w:bottom="1236" w:left="407" w:header="708" w:footer="945" w:gutter="0"/>
          <w:cols w:equalWidth="0" w:num="1">
            <w:col w:w="10553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pStyle w:val="BodyText"/>
        <w:ind w:left="530" w:right="256" w:firstLine="435"/>
        <w:spacing w:before="38" w:line="228" w:lineRule="auto"/>
        <w:rPr/>
      </w:pPr>
      <w:r>
        <w:rPr>
          <w:color w:val="231F20"/>
          <w:spacing w:val="8"/>
        </w:rPr>
        <w:t>2.3   病理结果</w:t>
      </w:r>
      <w:r>
        <w:rPr>
          <w:color w:val="231F20"/>
          <w:spacing w:val="9"/>
        </w:rPr>
        <w:t xml:space="preserve">    </w:t>
      </w:r>
      <w:r>
        <w:rPr>
          <w:color w:val="231F20"/>
          <w:spacing w:val="8"/>
        </w:rPr>
        <w:t>2 组患者经术后常规病理组织学检查证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实 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均为良性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4"/>
        </w:rPr>
        <w:t>肿瘤 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4"/>
        </w:rPr>
        <w:t>其中浆液性及黏液性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上皮囊肿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4"/>
        </w:rPr>
        <w:t>10 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（42%</w:t>
      </w:r>
      <w:r>
        <w:rPr>
          <w:color w:val="231F20"/>
          <w:spacing w:val="-39"/>
          <w:w w:val="95"/>
        </w:rPr>
        <w:t>），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成熟性囊性畸胎瘤 8 例（33%</w:t>
      </w:r>
      <w:r>
        <w:rPr>
          <w:color w:val="231F20"/>
          <w:spacing w:val="-39"/>
          <w:w w:val="95"/>
        </w:rPr>
        <w:t>），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单纯性囊肿 4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（17%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-9"/>
        </w:rPr>
        <w:t>黄体囊肿 2 例（8%）。</w:t>
      </w:r>
    </w:p>
    <w:p>
      <w:pPr>
        <w:pStyle w:val="BodyText"/>
        <w:ind w:left="602" w:right="192" w:firstLine="359"/>
        <w:spacing w:before="35" w:line="229" w:lineRule="auto"/>
        <w:rPr/>
      </w:pPr>
      <w:r>
        <w:rPr>
          <w:color w:val="231F20"/>
        </w:rPr>
        <w:t>2.4    术后随访    所有患者术后随访 3~12 个月，均于术后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1.5 个月及 3 个月行妇科超声及性激素水平检查</w:t>
      </w:r>
      <w:r>
        <w:rPr>
          <w:color w:val="231F20"/>
          <w:spacing w:val="6"/>
        </w:rPr>
        <w:t>，9 例妊娠期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患者术后均继续自然妊娠至足月自然分娩或剖</w:t>
      </w:r>
      <w:r>
        <w:rPr>
          <w:color w:val="231F20"/>
          <w:spacing w:val="7"/>
        </w:rPr>
        <w:t>宫产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，无流产、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早产、宫内发育迟缓及胎死宫内等情况。</w:t>
      </w:r>
    </w:p>
    <w:p>
      <w:pPr>
        <w:pStyle w:val="BodyText"/>
        <w:ind w:left="962"/>
        <w:spacing w:before="44" w:line="189" w:lineRule="auto"/>
        <w:outlineLvl w:val="1"/>
        <w:rPr/>
      </w:pPr>
      <w:r>
        <w:rPr>
          <w:color w:val="231F20"/>
          <w:spacing w:val="1"/>
        </w:rPr>
        <w:t>3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1"/>
        </w:rPr>
        <w:t>讨论</w:t>
      </w:r>
    </w:p>
    <w:p>
      <w:pPr>
        <w:pStyle w:val="BodyText"/>
        <w:ind w:left="601" w:right="256" w:firstLine="363"/>
        <w:spacing w:before="49" w:line="228" w:lineRule="auto"/>
        <w:rPr/>
      </w:pPr>
      <w:r>
        <w:rPr>
          <w:color w:val="231F20"/>
          <w:spacing w:val="3"/>
        </w:rPr>
        <w:t>卵巢囊肿是妇科常见疾病，其中约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10%的卵巢囊肿发生蒂</w:t>
      </w:r>
      <w:r>
        <w:rPr>
          <w:color w:val="231F20"/>
        </w:rPr>
        <w:t xml:space="preserve"> </w:t>
      </w:r>
      <w:r>
        <w:rPr>
          <w:color w:val="231F20"/>
        </w:rPr>
        <w:t>扭转，为妇科常见急症，主要发生于瘤蒂长、中等大小、活动度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好、重心偏于一侧的囊肿。其常于剧烈活动、体位改变及妊娠期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时发生，又以妊娠期卵巢囊肿蒂扭转发生率（11% ～ 50%）</w:t>
      </w:r>
      <w:r>
        <w:rPr>
          <w:sz w:val="10"/>
          <w:szCs w:val="10"/>
          <w:color w:val="231F20"/>
          <w:spacing w:val="-2"/>
          <w:position w:val="6"/>
        </w:rPr>
        <w:t>[3]</w:t>
      </w:r>
      <w:r>
        <w:rPr>
          <w:color w:val="231F20"/>
          <w:spacing w:val="-2"/>
        </w:rPr>
        <w:t>最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高，其发病率较非妊娠期（2%）</w:t>
      </w:r>
      <w:r>
        <w:rPr>
          <w:sz w:val="10"/>
          <w:szCs w:val="10"/>
          <w:color w:val="231F20"/>
          <w:spacing w:val="-1"/>
          <w:position w:val="6"/>
        </w:rPr>
        <w:t>[2]</w:t>
      </w:r>
      <w:r>
        <w:rPr>
          <w:color w:val="231F20"/>
          <w:spacing w:val="-1"/>
        </w:rPr>
        <w:t>升高数倍，主要是因为妊娠期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腹腔容积增加，卵巢囊肿活动空间加大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。同时妊</w:t>
      </w:r>
      <w:r>
        <w:rPr>
          <w:color w:val="231F20"/>
          <w:spacing w:val="5"/>
        </w:rPr>
        <w:t>娠后女性内分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泌功能改变，旺盛的内分泌功能致囊内容物增加，从而加大了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卵巢囊肿蒂扭转的概率。随着经济技术水平的不断发展及各种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腹腔镜规范化操作技术培训班的举办，腹腔镜在妇科领域的应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用正处于飞速发展之中，相较于传统开腹手术，其创伤小、出血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29" w:line="232" w:lineRule="auto"/>
        <w:jc w:val="both"/>
        <w:rPr/>
      </w:pPr>
      <w:r>
        <w:rPr>
          <w:color w:val="231F20"/>
        </w:rPr>
        <w:t>少、术野清晰，住院时间短、术后疼痛轻，能更快地恢复正常活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动。由于术中不使用纱垫，因此对腹膜的直接创伤小，腹腔内感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染概率也大大降低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，腹腔镜手术未将腹膜直接暴露于空气中，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不会影响腹膜湿度，因此可减少腹膜损伤及粘连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5"/>
        </w:rPr>
        <w:t>但其上述优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点有赖于术者接受过良好的培训且具备足够的能力和经验。对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于手术方式的选择，应遵循个体化原则，对于妊娠中晚期的患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因子宫明显增大等因素的影响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，腹腔镜下操</w:t>
      </w:r>
      <w:r>
        <w:rPr>
          <w:color w:val="231F20"/>
          <w:spacing w:val="3"/>
        </w:rPr>
        <w:t>作空间明显受</w:t>
      </w:r>
      <w:r>
        <w:rPr>
          <w:color w:val="231F20"/>
        </w:rPr>
        <w:t xml:space="preserve">  </w:t>
      </w:r>
      <w:r>
        <w:rPr>
          <w:color w:val="231F20"/>
        </w:rPr>
        <w:t>限，不宜强行选择腹腔镜手术，但这同样有赖于术者的经验及技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2"/>
        </w:rPr>
        <w:t>术，孙媛媛等</w:t>
      </w:r>
      <w:r>
        <w:rPr>
          <w:sz w:val="10"/>
          <w:szCs w:val="10"/>
          <w:color w:val="231F20"/>
          <w:spacing w:val="-12"/>
          <w:position w:val="6"/>
        </w:rPr>
        <w:t>[1]</w:t>
      </w:r>
      <w:r>
        <w:rPr>
          <w:color w:val="231F20"/>
          <w:spacing w:val="-12"/>
        </w:rPr>
        <w:t>对 </w:t>
      </w:r>
      <w:r>
        <w:rPr>
          <w:color w:val="231F20"/>
          <w:spacing w:val="-5"/>
        </w:rPr>
        <w:t>26 例（孕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7~34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周）妊娠合并卵巢囊肿蒂扭转患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者行腹腔镜下手术治疗均成功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，其中中期妊</w:t>
      </w:r>
      <w:r>
        <w:rPr>
          <w:color w:val="231F20"/>
          <w:spacing w:val="1"/>
        </w:rPr>
        <w:t>娠 8 例（14~20 孕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周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-11"/>
        </w:rPr>
        <w:t>晚期妊娠 3 例（30 孕周 2 例，34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1"/>
        </w:rPr>
        <w:t>孕周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1 例）。尽可能保留卵巢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从而最大限度保留内分泌功能，成为当前手术治疗的主</w:t>
      </w:r>
      <w:r>
        <w:rPr>
          <w:color w:val="231F20"/>
          <w:spacing w:val="1"/>
        </w:rPr>
        <w:t>流</w:t>
      </w:r>
      <w:r>
        <w:rPr>
          <w:sz w:val="10"/>
          <w:szCs w:val="10"/>
          <w:color w:val="231F20"/>
          <w:spacing w:val="1"/>
          <w:position w:val="6"/>
        </w:rPr>
        <w:t>[4]</w:t>
      </w:r>
      <w:r>
        <w:rPr>
          <w:color w:val="231F20"/>
          <w:spacing w:val="1"/>
        </w:rPr>
        <w:t>，对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于卵巢能否保留，主要依赖术中镜下的观察及个人经验，如何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判断能否保留卵巢及其手术方式的选择目前没有定论，普遍认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1"/>
        </w:rPr>
        <w:t>为发病时间和扭转周数是判断卵巢是否坏死</w:t>
      </w:r>
      <w:r>
        <w:rPr>
          <w:color w:val="231F20"/>
          <w:spacing w:val="20"/>
        </w:rPr>
        <w:t>的重要参考因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素</w:t>
      </w:r>
      <w:r>
        <w:rPr>
          <w:sz w:val="10"/>
          <w:szCs w:val="10"/>
          <w:color w:val="231F20"/>
          <w:spacing w:val="1"/>
          <w:position w:val="5"/>
        </w:rPr>
        <w:t>[4]</w:t>
      </w:r>
      <w:r>
        <w:rPr>
          <w:color w:val="231F20"/>
          <w:spacing w:val="1"/>
        </w:rPr>
        <w:t>，这一点与本组病例分析结果相一致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。于月新等</w:t>
      </w:r>
      <w:r>
        <w:rPr>
          <w:sz w:val="10"/>
          <w:szCs w:val="10"/>
          <w:color w:val="231F20"/>
          <w:spacing w:val="1"/>
          <w:position w:val="5"/>
        </w:rPr>
        <w:t>[5]</w:t>
      </w:r>
      <w:r>
        <w:rPr>
          <w:color w:val="231F20"/>
          <w:spacing w:val="1"/>
        </w:rPr>
        <w:t>对 3 例妊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娠合并卵巢囊肿蒂扭转通过高位结扎卵巢动、静脉行卵巢囊肿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切除术，既切除肿瘤、保留患侧卵巢，又避免肺动脉栓塞的发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生，扭转的附件蓝黑色，甚至黑紫色，术后 3</w:t>
      </w:r>
      <w:r>
        <w:rPr>
          <w:color w:val="231F20"/>
          <w:spacing w:val="-1"/>
        </w:rPr>
        <w:t xml:space="preserve"> d 彩色多普勒超声</w:t>
      </w:r>
    </w:p>
    <w:p>
      <w:pPr>
        <w:spacing w:line="232" w:lineRule="auto"/>
        <w:sectPr>
          <w:type w:val="continuous"/>
          <w:pgSz w:w="11906" w:h="16158"/>
          <w:pgMar w:top="1031" w:right="944" w:bottom="1236" w:left="407" w:header="708" w:footer="945" w:gutter="0"/>
          <w:cols w:equalWidth="0" w:num="2">
            <w:col w:w="5629" w:space="100"/>
            <w:col w:w="4825" w:space="0"/>
          </w:cols>
        </w:sectPr>
        <w:rPr/>
      </w:pPr>
    </w:p>
    <w:p>
      <w:pPr>
        <w:spacing w:line="208" w:lineRule="exact"/>
        <w:rPr/>
      </w:pPr>
      <w:r/>
    </w:p>
    <w:p>
      <w:pPr>
        <w:spacing w:line="208" w:lineRule="exact"/>
        <w:sectPr>
          <w:headerReference w:type="default" r:id="rId1"/>
          <w:footerReference w:type="default" r:id="rId6"/>
          <w:pgSz w:w="11906" w:h="16158"/>
          <w:pgMar w:top="1031" w:right="944" w:bottom="1241" w:left="407" w:header="708" w:footer="945" w:gutter="0"/>
          <w:cols w:equalWidth="0" w:num="1">
            <w:col w:w="10553" w:space="0"/>
          </w:cols>
        </w:sectPr>
        <w:rPr/>
      </w:pPr>
    </w:p>
    <w:p>
      <w:pPr>
        <w:pStyle w:val="BodyText"/>
        <w:ind w:left="601" w:right="193" w:firstLine="2"/>
        <w:spacing w:before="43" w:line="229" w:lineRule="auto"/>
        <w:jc w:val="both"/>
        <w:rPr/>
      </w:pPr>
      <w:r>
        <w:rPr>
          <w:color w:val="231F20"/>
          <w:spacing w:val="7"/>
        </w:rPr>
        <w:t>检查明确显示患侧卵巢血流丰富或正常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。3 例分别是 27 岁妊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娠 57 d，23 岁妊娠 3 个月，36 岁妊娠 4 个月，术后随访至足月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妊娠行剖宫产,术中见原患侧卵巢与健侧相同，卵巢血流正常。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可见具备一定条件的情况下，比如较大的医学中心，术后有良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好的随访，患者有保留卵巢的意愿等条件时，即使发生卵巢缺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血也可保留附件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。该研究建议如果扭转时间超过 72 h，术前患</w:t>
      </w:r>
      <w:r>
        <w:rPr>
          <w:color w:val="231F20"/>
        </w:rPr>
        <w:t xml:space="preserve">  </w:t>
      </w:r>
      <w:r>
        <w:rPr>
          <w:color w:val="231F20"/>
        </w:rPr>
        <w:t>者高热，白细胞升高明显，卵巢坏死或坏疽，发生腹膜炎，卵巢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及子宫动、静脉均有血栓形成，造成卵巢不可逆损伤，则不宜保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留卵巢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。有人认为不论卵巢缺血程度如何，都可以尝</w:t>
      </w:r>
      <w:r>
        <w:rPr>
          <w:color w:val="231F20"/>
          <w:spacing w:val="5"/>
        </w:rPr>
        <w:t>试保留卵</w:t>
      </w:r>
      <w:r>
        <w:rPr>
          <w:color w:val="231F20"/>
        </w:rPr>
        <w:t xml:space="preserve">  </w:t>
      </w:r>
      <w:r>
        <w:rPr>
          <w:color w:val="231F20"/>
          <w:spacing w:val="6"/>
          <w:position w:val="-3"/>
        </w:rPr>
        <w:t>巢</w:t>
      </w:r>
      <w:r>
        <w:rPr>
          <w:sz w:val="10"/>
          <w:szCs w:val="10"/>
          <w:color w:val="231F20"/>
          <w:spacing w:val="-10"/>
          <w:position w:val="3"/>
        </w:rPr>
        <w:t>[1]</w:t>
      </w:r>
      <w:r>
        <w:rPr>
          <w:color w:val="231F20"/>
          <w:position w:val="-3"/>
        </w:rPr>
        <w:t>。</w:t>
      </w:r>
    </w:p>
    <w:p>
      <w:pPr>
        <w:pStyle w:val="BodyText"/>
        <w:ind w:left="530" w:right="193" w:firstLine="429"/>
        <w:spacing w:line="229" w:lineRule="auto"/>
        <w:jc w:val="both"/>
        <w:rPr/>
      </w:pPr>
      <w:r>
        <w:rPr>
          <w:color w:val="231F20"/>
          <w:spacing w:val="14"/>
        </w:rPr>
        <w:t>本组病例分析发现，保留卵巢组在起病时间</w:t>
      </w:r>
      <w:r>
        <w:rPr>
          <w:color w:val="231F20"/>
          <w:spacing w:val="13"/>
        </w:rPr>
        <w:t>及扭转周数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2 项因素方面显著低于附件切除组，因此可将这 2 项因素作为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术中卵巢保留与否的客观影响因子，但切不可以此作为卵巢保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留与否的决定性因子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。除此以外，2 组患者在年龄、</w:t>
      </w:r>
      <w:r>
        <w:rPr>
          <w:color w:val="231F20"/>
          <w:spacing w:val="4"/>
        </w:rPr>
        <w:t>囊肿大小、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手术出血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1"/>
        </w:rPr>
        <w:t>、住院时间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1"/>
        </w:rPr>
        <w:t>、平均手术时长等方面均无明显差异</w:t>
      </w:r>
      <w:r>
        <w:rPr>
          <w:color w:val="231F20"/>
        </w:rPr>
        <w:t xml:space="preserve">  </w:t>
      </w:r>
      <w:r>
        <w:rPr>
          <w:color w:val="231F20"/>
        </w:rPr>
        <w:t>（</w:t>
      </w:r>
      <w:r>
        <w:rPr>
          <w:rFonts w:ascii="Arial" w:hAnsi="Arial" w:eastAsia="Arial" w:cs="Arial"/>
          <w:color w:val="231F20"/>
        </w:rPr>
        <w:t>P</w:t>
      </w:r>
      <w:r>
        <w:rPr>
          <w:color w:val="231F20"/>
        </w:rPr>
        <w:t>&gt;0.05</w:t>
      </w:r>
      <w:r>
        <w:rPr>
          <w:color w:val="231F20"/>
          <w:spacing w:val="-26"/>
          <w:w w:val="63"/>
        </w:rPr>
        <w:t>），</w:t>
      </w:r>
      <w:r>
        <w:rPr>
          <w:color w:val="231F20"/>
        </w:rPr>
        <w:t>性激素恢复水平，术后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1.5 个月时，卵巢保留组</w:t>
      </w:r>
      <w:r>
        <w:rPr>
          <w:color w:val="231F20"/>
          <w:spacing w:val="-1"/>
        </w:rPr>
        <w:t>明显</w:t>
      </w:r>
      <w:r>
        <w:rPr>
          <w:color w:val="231F20"/>
        </w:rPr>
        <w:t xml:space="preserve">  </w:t>
      </w:r>
      <w:r>
        <w:rPr>
          <w:color w:val="231F20"/>
        </w:rPr>
        <w:t>优于附件切除组（</w:t>
      </w:r>
      <w:r>
        <w:rPr>
          <w:rFonts w:ascii="Arial" w:hAnsi="Arial" w:eastAsia="Arial" w:cs="Arial"/>
          <w:color w:val="231F20"/>
        </w:rPr>
        <w:t>P</w:t>
      </w:r>
      <w:r>
        <w:rPr>
          <w:color w:val="231F20"/>
        </w:rPr>
        <w:t>&lt;0.05）。故有学者对卵巢保留的单纯囊肿剥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离术提出争议，认为当卵巢囊肿发生蒂扭转时，卵巢动脉供血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及静脉回流均受阻，卵巢静脉易形成静脉血栓，卵巢及囊肿复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位后，可能造成血栓脱落，经静脉回流至心脏，进而引</w:t>
      </w:r>
      <w:r>
        <w:rPr>
          <w:color w:val="231F20"/>
          <w:spacing w:val="2"/>
        </w:rPr>
        <w:t>起肺动脉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栓塞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。本组 13 例行保留卵巢囊肿剥离术的患者在复位前均先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行卵巢动静脉高位结扎术，术后及随访期间均未发现有血栓形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209" w:lineRule="auto"/>
        <w:rPr/>
      </w:pPr>
      <w:r>
        <w:rPr>
          <w:color w:val="231F20"/>
          <w:spacing w:val="7"/>
        </w:rPr>
        <w:t>成及肺动脉栓塞等并发症。</w:t>
      </w:r>
    </w:p>
    <w:p>
      <w:pPr>
        <w:pStyle w:val="BodyText"/>
        <w:ind w:firstLine="364"/>
        <w:spacing w:before="22" w:line="231" w:lineRule="auto"/>
        <w:jc w:val="both"/>
        <w:rPr/>
      </w:pPr>
      <w:r>
        <w:rPr>
          <w:color w:val="231F20"/>
          <w:spacing w:val="6"/>
        </w:rPr>
        <w:t>总之，腹腔镜下卵巢肿瘤蒂扭转具有手术创伤小，术后恢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复快的特点，对于有条件行卵巢保留的患者，虽然远期疗效无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明显差异，但从组织解剖学的观点出发，以防健侧卵巢因后期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病变需予以切除，进而导致内分泌功能障碍的角度看，仍应积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极予以保留，且该手术术式安全可行。随着技术及条件的进步，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经验的积累，良性卵巢囊肿蒂扭转腹腔镜手术，尤其是保留卵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巢的囊肿剥离术，必将受到更多的关注。</w:t>
      </w:r>
    </w:p>
    <w:p>
      <w:pPr>
        <w:pStyle w:val="BodyText"/>
        <w:ind w:left="2070"/>
        <w:spacing w:line="18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参考文献</w:t>
      </w:r>
    </w:p>
    <w:p>
      <w:pPr>
        <w:pStyle w:val="BodyText"/>
        <w:ind w:left="321" w:right="53" w:hanging="317"/>
        <w:spacing w:before="47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[1]   孙媛媛，汤丽荣.腹腔镜手术</w:t>
      </w:r>
      <w:r>
        <w:rPr>
          <w:sz w:val="15"/>
          <w:szCs w:val="15"/>
          <w:color w:val="231F20"/>
          <w:spacing w:val="6"/>
        </w:rPr>
        <w:t>治疗妊娠合并卵巢囊肿蒂扭转 26 例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报告[J].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8"/>
        </w:rPr>
        <w:t>中国微创外科杂志，2017，17（12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8"/>
        </w:rPr>
        <w:t>1091-1</w:t>
      </w:r>
      <w:r>
        <w:rPr>
          <w:sz w:val="15"/>
          <w:szCs w:val="15"/>
          <w:color w:val="231F20"/>
          <w:spacing w:val="-9"/>
        </w:rPr>
        <w:t>093.</w:t>
      </w:r>
    </w:p>
    <w:p>
      <w:pPr>
        <w:pStyle w:val="BodyText"/>
        <w:ind w:left="321" w:right="52" w:hanging="317"/>
        <w:spacing w:before="48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[2]     BASARANOGLU   S，AGACAYAK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E，TUNE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Y，et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al．   Clinical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experience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pregnancies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complicated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by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adnexal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torsion[J]．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Clin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Exp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Obstet Gynecol，2016，43（3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15"/>
        </w:rPr>
        <w:t>345－349．</w:t>
      </w:r>
    </w:p>
    <w:p>
      <w:pPr>
        <w:pStyle w:val="BodyText"/>
        <w:ind w:left="321" w:right="52" w:hanging="317"/>
        <w:spacing w:before="59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[3]      GANER   HERMAN   H，SHALEV   A，GINAT</w:t>
      </w:r>
      <w:r>
        <w:rPr>
          <w:sz w:val="15"/>
          <w:szCs w:val="15"/>
          <w:color w:val="231F20"/>
          <w:spacing w:val="21"/>
          <w:w w:val="102"/>
        </w:rPr>
        <w:t xml:space="preserve">  </w:t>
      </w:r>
      <w:r>
        <w:rPr>
          <w:sz w:val="15"/>
          <w:szCs w:val="15"/>
          <w:color w:val="231F20"/>
          <w:spacing w:val="-7"/>
        </w:rPr>
        <w:t>S，et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sz w:val="15"/>
          <w:szCs w:val="15"/>
          <w:color w:val="231F20"/>
          <w:spacing w:val="-7"/>
        </w:rPr>
        <w:t>al．    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characteristics  of  adnexal  torsion  in  premenarchal  patients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[J]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．Arch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 Obstet，2016，293（</w:t>
      </w:r>
      <w:r>
        <w:rPr>
          <w:sz w:val="15"/>
          <w:szCs w:val="15"/>
          <w:color w:val="231F20"/>
          <w:spacing w:val="-15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5"/>
        </w:rPr>
        <w:t>603－608．</w:t>
      </w:r>
    </w:p>
    <w:p>
      <w:pPr>
        <w:pStyle w:val="BodyText"/>
        <w:ind w:left="320" w:right="53" w:hanging="316"/>
        <w:spacing w:before="50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[4]   吴伟芳，潘勉.妊娠合并卵巢囊肿蒂扭转手术方式的选择探讨[J].实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用妇产科杂志，2019,35（12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6"/>
        </w:rPr>
        <w:t>937-940.</w:t>
      </w:r>
    </w:p>
    <w:p>
      <w:pPr>
        <w:pStyle w:val="BodyText"/>
        <w:ind w:left="319" w:right="53" w:hanging="315"/>
        <w:spacing w:before="38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[5]   于月新，李巨，郑莉彦，等．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妊娠合并卵巢囊肿蒂扭转保留卵巢手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术患者的妊娠结局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[J].  中华妇产科杂志，201</w:t>
      </w:r>
      <w:r>
        <w:rPr>
          <w:sz w:val="15"/>
          <w:szCs w:val="15"/>
          <w:color w:val="231F20"/>
          <w:spacing w:val="-3"/>
        </w:rPr>
        <w:t>1,46（12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3"/>
        </w:rPr>
        <w:t>936-937．</w:t>
      </w:r>
    </w:p>
    <w:p>
      <w:pPr>
        <w:pStyle w:val="BodyText"/>
        <w:spacing w:before="37" w:line="206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（收稿日期：2021-05-09）</w:t>
      </w:r>
    </w:p>
    <w:p>
      <w:pPr>
        <w:spacing w:line="206" w:lineRule="auto"/>
        <w:sectPr>
          <w:type w:val="continuous"/>
          <w:pgSz w:w="11906" w:h="16158"/>
          <w:pgMar w:top="1031" w:right="944" w:bottom="1241" w:left="407" w:header="708" w:footer="945" w:gutter="0"/>
          <w:cols w:equalWidth="0" w:num="2">
            <w:col w:w="5630" w:space="100"/>
            <w:col w:w="4823" w:space="0"/>
          </w:cols>
        </w:sectPr>
        <w:rPr>
          <w:sz w:val="15"/>
          <w:szCs w:val="15"/>
        </w:rPr>
      </w:pPr>
    </w:p>
    <w:p>
      <w:pPr>
        <w:pStyle w:val="BodyText"/>
        <w:ind w:left="2424"/>
        <w:spacing w:before="301" w:line="188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3"/>
        </w:rPr>
        <w:t>单节段退行性腰椎管狭窄症应用不同椎间孔镜</w:t>
      </w:r>
    </w:p>
    <w:p>
      <w:pPr>
        <w:pStyle w:val="BodyText"/>
        <w:ind w:left="4150"/>
        <w:spacing w:line="182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2"/>
        </w:rPr>
        <w:t>手术入路的效果对比</w:t>
      </w:r>
    </w:p>
    <w:p>
      <w:pPr>
        <w:pStyle w:val="BodyText"/>
        <w:ind w:left="3959"/>
        <w:spacing w:before="187" w:line="203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曹立颖    林斌珍    尹小锋    钟</w:t>
      </w:r>
      <w:r>
        <w:rPr>
          <w:sz w:val="20"/>
          <w:szCs w:val="20"/>
          <w:color w:val="231F20"/>
          <w:spacing w:val="2"/>
        </w:rPr>
        <w:t xml:space="preserve">    南</w:t>
      </w:r>
    </w:p>
    <w:p>
      <w:pPr>
        <w:pStyle w:val="BodyText"/>
        <w:ind w:left="4154"/>
        <w:spacing w:before="100" w:line="1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（龙岩市第二医院，福建</w:t>
      </w:r>
      <w:r>
        <w:rPr>
          <w:sz w:val="15"/>
          <w:szCs w:val="15"/>
          <w:color w:val="231F20"/>
          <w:spacing w:val="4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龙岩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364000</w:t>
      </w:r>
      <w:r>
        <w:rPr>
          <w:sz w:val="15"/>
          <w:szCs w:val="15"/>
          <w:color w:val="231F20"/>
          <w:spacing w:val="1"/>
        </w:rPr>
        <w:t>）</w:t>
      </w:r>
    </w:p>
    <w:p>
      <w:pPr>
        <w:spacing w:before="35"/>
        <w:rPr/>
      </w:pPr>
      <w:r/>
    </w:p>
    <w:p>
      <w:pPr>
        <w:sectPr>
          <w:type w:val="continuous"/>
          <w:pgSz w:w="11906" w:h="16158"/>
          <w:pgMar w:top="1031" w:right="944" w:bottom="1241" w:left="407" w:header="708" w:footer="945" w:gutter="0"/>
          <w:cols w:equalWidth="0" w:num="1">
            <w:col w:w="10553" w:space="0"/>
          </w:cols>
        </w:sectPr>
        <w:rPr/>
      </w:pPr>
    </w:p>
    <w:p>
      <w:pPr>
        <w:pStyle w:val="BodyText"/>
        <w:ind w:left="530" w:right="201" w:firstLine="356"/>
        <w:spacing w:before="31" w:line="230" w:lineRule="auto"/>
        <w:jc w:val="both"/>
        <w:rPr/>
      </w:pPr>
      <w:r>
        <w:rPr>
          <w:color w:val="231F20"/>
          <w:spacing w:val="13"/>
        </w:rPr>
        <w:t>【摘要】 目的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13"/>
        </w:rPr>
        <w:t>探讨对单节段退行性腰椎管狭窄症患者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（</w:t>
      </w:r>
      <w:r>
        <w:rPr>
          <w:color w:val="231F20"/>
        </w:rPr>
        <w:t>DLSS</w:t>
      </w:r>
      <w:r>
        <w:rPr>
          <w:color w:val="231F20"/>
          <w:spacing w:val="12"/>
        </w:rPr>
        <w:t>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应用不同椎间孔镜手术入路治疗的临床效果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。方法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选择 2018 年 6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月—2020 年 6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月龙岩市第二医院收治的单节段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DLSS 患者 70 例，采用随机数字表法分为 2 组各 35 例。2 组均行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椎间孔镜手术，对照组采用单侧入路法，观察组行双侧</w:t>
      </w:r>
      <w:r>
        <w:rPr>
          <w:color w:val="231F20"/>
          <w:spacing w:val="4"/>
        </w:rPr>
        <w:t>入路法，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比较 2 组腰椎功能、疼痛程度及并发症发生情况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。结果</w:t>
      </w:r>
      <w:r>
        <w:rPr>
          <w:color w:val="231F20"/>
        </w:rPr>
        <w:t xml:space="preserve">    </w:t>
      </w:r>
      <w:r>
        <w:rPr>
          <w:color w:val="231F20"/>
          <w:spacing w:val="6"/>
        </w:rPr>
        <w:t>2 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术前、术后 3 个月腰椎功能、疼痛程度比</w:t>
      </w:r>
      <w:r>
        <w:rPr>
          <w:color w:val="231F20"/>
          <w:spacing w:val="1"/>
        </w:rPr>
        <w:t>较，差异无统计学意义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（</w:t>
      </w:r>
      <w:r>
        <w:rPr>
          <w:rFonts w:ascii="Arial" w:hAnsi="Arial" w:eastAsia="Arial" w:cs="Arial"/>
          <w:color w:val="231F20"/>
          <w:spacing w:val="9"/>
        </w:rPr>
        <w:t>P</w:t>
      </w:r>
      <w:r>
        <w:rPr>
          <w:color w:val="231F20"/>
          <w:spacing w:val="9"/>
        </w:rPr>
        <w:t>&gt;0.05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观察组并发症发生率为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9"/>
        </w:rPr>
        <w:t>2.86%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低于对照组的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22.86%，差异有统计学意义（</w:t>
      </w:r>
      <w:r>
        <w:rPr>
          <w:rFonts w:ascii="Arial" w:hAnsi="Arial" w:eastAsia="Arial" w:cs="Arial"/>
          <w:color w:val="231F20"/>
          <w:spacing w:val="-7"/>
        </w:rPr>
        <w:t>P</w:t>
      </w:r>
      <w:r>
        <w:rPr>
          <w:color w:val="231F20"/>
          <w:spacing w:val="-7"/>
        </w:rPr>
        <w:t>&lt;0.05）。结论   </w:t>
      </w:r>
      <w:r>
        <w:rPr>
          <w:color w:val="231F20"/>
          <w:spacing w:val="-8"/>
        </w:rPr>
        <w:t xml:space="preserve"> 对单节段 DLSS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患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者应用单侧或双侧椎间孔镜手术入路治疗，术后腰椎功能恢复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效果相当，均可减轻术后疼痛，但双侧入路法并发症更</w:t>
      </w:r>
      <w:r>
        <w:rPr>
          <w:color w:val="231F20"/>
          <w:spacing w:val="2"/>
        </w:rPr>
        <w:t>少，且有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更高的安全性。</w:t>
      </w:r>
    </w:p>
    <w:p>
      <w:pPr>
        <w:pStyle w:val="BodyText"/>
        <w:ind w:left="613" w:right="257" w:firstLine="273"/>
        <w:spacing w:before="3" w:line="230" w:lineRule="auto"/>
        <w:rPr/>
      </w:pPr>
      <w:r>
        <w:rPr>
          <w:color w:val="231F20"/>
          <w:spacing w:val="14"/>
        </w:rPr>
        <w:t>【关键词】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4"/>
        </w:rPr>
        <w:t>单节段退行性腰椎管狭窄症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4"/>
        </w:rPr>
        <w:t>椎间孔镜手术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不同入路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5"/>
        </w:rPr>
        <w:t>疼痛</w:t>
      </w:r>
      <w:r>
        <w:rPr>
          <w:color w:val="231F20"/>
        </w:rPr>
        <w:t xml:space="preserve">    </w:t>
      </w:r>
      <w:r>
        <w:rPr>
          <w:color w:val="231F20"/>
          <w:spacing w:val="5"/>
        </w:rPr>
        <w:t>并发症</w:t>
      </w:r>
    </w:p>
    <w:p>
      <w:pPr>
        <w:pStyle w:val="BodyText"/>
        <w:ind w:left="978"/>
        <w:spacing w:line="186" w:lineRule="auto"/>
        <w:rPr/>
      </w:pPr>
      <w:r>
        <w:rPr>
          <w:color w:val="231F20"/>
          <w:spacing w:val="-4"/>
        </w:rPr>
        <w:t>中图分类号：R4    文献标识码：A</w:t>
      </w:r>
    </w:p>
    <w:p>
      <w:pPr>
        <w:pStyle w:val="BodyText"/>
        <w:ind w:left="949"/>
        <w:spacing w:before="51" w:line="196" w:lineRule="auto"/>
        <w:rPr/>
      </w:pPr>
      <w:r>
        <w:rPr>
          <w:color w:val="231F20"/>
          <w:spacing w:val="-12"/>
        </w:rPr>
        <w:t>文章编号：1672-1721（2021）22-3158-03</w:t>
      </w:r>
    </w:p>
    <w:p>
      <w:pPr>
        <w:pStyle w:val="BodyText"/>
        <w:ind w:left="959"/>
        <w:spacing w:before="41" w:line="189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4"/>
        </w:rPr>
        <w:t>DOI</w:t>
      </w:r>
      <w:r>
        <w:rPr>
          <w:color w:val="231F20"/>
          <w:spacing w:val="-4"/>
        </w:rPr>
        <w:t>：</w:t>
      </w:r>
      <w:r>
        <w:rPr>
          <w:rFonts w:ascii="Arial" w:hAnsi="Arial" w:eastAsia="Arial" w:cs="Arial"/>
          <w:color w:val="231F20"/>
          <w:spacing w:val="-4"/>
        </w:rPr>
        <w:t>10.19435/j.1672-1721.2021.22.022</w:t>
      </w:r>
    </w:p>
    <w:p>
      <w:pPr>
        <w:spacing w:line="334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383539</wp:posOffset>
            </wp:positionH>
            <wp:positionV relativeFrom="paragraph">
              <wp:posOffset>214701</wp:posOffset>
            </wp:positionV>
            <wp:extent cx="750569" cy="7619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56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23"/>
        <w:spacing w:before="66" w:line="16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作者简介：曹立颖，男，硕士，主治医师。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57"/>
        <w:spacing w:before="41" w:line="229" w:lineRule="auto"/>
        <w:jc w:val="both"/>
        <w:rPr/>
      </w:pPr>
      <w:r>
        <w:rPr>
          <w:color w:val="231F20"/>
          <w:spacing w:val="4"/>
        </w:rPr>
        <w:t>退行性腰椎管狭窄症（</w:t>
      </w:r>
      <w:r>
        <w:rPr>
          <w:color w:val="231F20"/>
        </w:rPr>
        <w:t>DLSS</w:t>
      </w:r>
      <w:r>
        <w:rPr>
          <w:color w:val="231F20"/>
          <w:spacing w:val="4"/>
        </w:rPr>
        <w:t>）主要是纤维软组织</w:t>
      </w:r>
      <w:r>
        <w:rPr>
          <w:color w:val="231F20"/>
          <w:spacing w:val="3"/>
        </w:rPr>
        <w:t>与腰椎管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骨出现退行性改变，致病因素较多，黄韧带肥厚、椎体后缘增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生、椎间盘退变突出等均会引发该病，患者常伴有腰腿痛、下肢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麻木、行动受限等症状</w:t>
      </w:r>
      <w:r>
        <w:rPr>
          <w:sz w:val="10"/>
          <w:szCs w:val="10"/>
          <w:color w:val="231F20"/>
          <w:spacing w:val="-2"/>
          <w:position w:val="6"/>
        </w:rPr>
        <w:t>[1]</w:t>
      </w:r>
      <w:r>
        <w:rPr>
          <w:color w:val="231F20"/>
          <w:spacing w:val="-2"/>
        </w:rPr>
        <w:t>。DLSS 多发生于中老年人群，</w:t>
      </w:r>
      <w:r>
        <w:rPr>
          <w:color w:val="231F20"/>
          <w:spacing w:val="-3"/>
        </w:rPr>
        <w:t>对患者日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常生活造成较大影响，目前临床治疗包括保守治疗、手术治疗，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保守治疗需长期卧床休息，易增加并发症发生的风险，整体效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果较差，故手术已成为首选治疗方法</w:t>
      </w:r>
      <w:r>
        <w:rPr>
          <w:sz w:val="10"/>
          <w:szCs w:val="10"/>
          <w:color w:val="231F20"/>
          <w:spacing w:val="2"/>
          <w:position w:val="6"/>
        </w:rPr>
        <w:t>[2]</w:t>
      </w:r>
      <w:r>
        <w:rPr>
          <w:color w:val="231F20"/>
          <w:spacing w:val="2"/>
        </w:rPr>
        <w:t>。后路开</w:t>
      </w:r>
      <w:r>
        <w:rPr>
          <w:color w:val="231F20"/>
          <w:spacing w:val="1"/>
        </w:rPr>
        <w:t>放减压术为传统</w:t>
      </w:r>
      <w:r>
        <w:rPr>
          <w:color w:val="231F20"/>
        </w:rPr>
        <w:t xml:space="preserve">  </w:t>
      </w:r>
      <w:r>
        <w:rPr>
          <w:color w:val="231F20"/>
        </w:rPr>
        <w:t>术式，治疗效果较好，应用广泛，但其创伤较大，患者术后恢复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慢。近些年，随着微创手术的发展，微创椎间孔镜技术逐渐用于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临床，具有出血少、创伤小、恢复快等优势</w:t>
      </w:r>
      <w:r>
        <w:rPr>
          <w:sz w:val="10"/>
          <w:szCs w:val="10"/>
          <w:color w:val="231F20"/>
          <w:spacing w:val="-4"/>
          <w:position w:val="6"/>
        </w:rPr>
        <w:t>[3]</w:t>
      </w:r>
      <w:r>
        <w:rPr>
          <w:color w:val="231F20"/>
          <w:spacing w:val="-4"/>
        </w:rPr>
        <w:t>。椎间孔镜手术入路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包括单侧入路与双侧入路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，不同入路方式效果也不尽相同，但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关于哪种入路方式更优尚缺乏定论。本研究进一步分析了单节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段 </w:t>
      </w:r>
      <w:r>
        <w:rPr>
          <w:color w:val="231F20"/>
        </w:rPr>
        <w:t>DLSS</w:t>
      </w:r>
      <w:r>
        <w:rPr>
          <w:color w:val="231F20"/>
          <w:spacing w:val="5"/>
        </w:rPr>
        <w:t xml:space="preserve"> 应用不同椎间孔镜手术入路患者的治疗效果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，现总结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如下。</w:t>
      </w:r>
    </w:p>
    <w:p>
      <w:pPr>
        <w:pStyle w:val="BodyText"/>
        <w:ind w:left="372"/>
        <w:spacing w:before="4" w:line="187" w:lineRule="auto"/>
        <w:outlineLvl w:val="1"/>
        <w:rPr/>
      </w:pPr>
      <w:r>
        <w:rPr>
          <w:color w:val="231F20"/>
          <w:spacing w:val="2"/>
        </w:rPr>
        <w:t>1</w:t>
      </w:r>
      <w:r>
        <w:rPr>
          <w:color w:val="231F20"/>
        </w:rPr>
        <w:t xml:space="preserve">    </w:t>
      </w:r>
      <w:r>
        <w:rPr>
          <w:color w:val="231F20"/>
          <w:spacing w:val="2"/>
        </w:rPr>
        <w:t>资料与方法</w:t>
      </w:r>
    </w:p>
    <w:p>
      <w:pPr>
        <w:pStyle w:val="BodyText"/>
        <w:ind w:firstLine="374"/>
        <w:spacing w:before="41" w:line="224" w:lineRule="auto"/>
        <w:jc w:val="both"/>
        <w:rPr/>
      </w:pPr>
      <w:r>
        <w:rPr>
          <w:color w:val="231F20"/>
        </w:rPr>
        <w:t>1.1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</w:rPr>
        <w:t>一般资料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</w:rPr>
        <w:t>选择 2018 年 6 月—2020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年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月龙岩市  </w:t>
      </w:r>
      <w:r>
        <w:rPr>
          <w:color w:val="231F20"/>
          <w:spacing w:val="8"/>
        </w:rPr>
        <w:t>第二医院收治的单节段 </w:t>
      </w:r>
      <w:r>
        <w:rPr>
          <w:color w:val="231F20"/>
        </w:rPr>
        <w:t>DLSS</w:t>
      </w:r>
      <w:r>
        <w:rPr>
          <w:color w:val="231F20"/>
          <w:spacing w:val="8"/>
        </w:rPr>
        <w:t xml:space="preserve"> 患者 70 例</w:t>
      </w:r>
      <w:r>
        <w:rPr>
          <w:color w:val="231F20"/>
          <w:spacing w:val="7"/>
        </w:rPr>
        <w:t>，采用随机数字表法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分为 2 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，各 35 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。观察组患者男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20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例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，女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15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例；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年龄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48~82 岁，平均年龄（61.91±5.47）岁；腰椎节段：L</w:t>
      </w:r>
      <w:r>
        <w:rPr>
          <w:sz w:val="10"/>
          <w:szCs w:val="10"/>
          <w:color w:val="231F20"/>
          <w:spacing w:val="-6"/>
          <w:position w:val="-2"/>
        </w:rPr>
        <w:t>2-3</w:t>
      </w:r>
      <w:r>
        <w:rPr>
          <w:sz w:val="10"/>
          <w:szCs w:val="10"/>
          <w:color w:val="231F20"/>
          <w:spacing w:val="4"/>
          <w:position w:val="-2"/>
        </w:rPr>
        <w:t xml:space="preserve"> </w:t>
      </w:r>
      <w:r>
        <w:rPr>
          <w:color w:val="231F20"/>
          <w:spacing w:val="-20"/>
        </w:rPr>
        <w:t>2 例，L</w:t>
      </w:r>
      <w:r>
        <w:rPr>
          <w:sz w:val="10"/>
          <w:szCs w:val="10"/>
          <w:color w:val="231F20"/>
          <w:spacing w:val="-8"/>
          <w:position w:val="-2"/>
        </w:rPr>
        <w:t>3-4</w:t>
      </w:r>
      <w:r>
        <w:rPr>
          <w:color w:val="231F20"/>
          <w:spacing w:val="-8"/>
        </w:rPr>
        <w:t>5 例，</w:t>
      </w:r>
    </w:p>
    <w:sectPr>
      <w:type w:val="continuous"/>
      <w:pgSz w:w="11906" w:h="16158"/>
      <w:pgMar w:top="1031" w:right="944" w:bottom="1241" w:left="407" w:header="708" w:footer="945" w:gutter="0"/>
      <w:cols w:equalWidth="0" w:num="2">
        <w:col w:w="5630" w:space="100"/>
        <w:col w:w="482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"/>
      <w:spacing w:before="80" w:line="192" w:lineRule="auto"/>
      <w:rPr>
        <w:sz w:val="15"/>
        <w:szCs w:val="15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638810</wp:posOffset>
          </wp:positionH>
          <wp:positionV relativeFrom="page">
            <wp:posOffset>9471330</wp:posOffset>
          </wp:positionV>
          <wp:extent cx="6285229" cy="10159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85229" cy="10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5"/>
        <w:szCs w:val="15"/>
        <w:color w:val="231F20"/>
        <w:position w:val="1"/>
      </w:rPr>
      <w:t>3156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spacing w:val="-1"/>
        <w:position w:val="1"/>
      </w:rPr>
      <w:t xml:space="preserve">                                    </w:t>
    </w:r>
    <w:r>
      <w:rPr>
        <w:sz w:val="15"/>
        <w:szCs w:val="15"/>
        <w:color w:val="231F20"/>
        <w:spacing w:val="-1"/>
      </w:rPr>
      <w:t>基层医学论坛 2021 年 8 月第 25 卷第 22 期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50"/>
      <w:spacing w:before="74" w:line="192" w:lineRule="auto"/>
      <w:rPr>
        <w:rFonts w:ascii="Arial" w:hAnsi="Arial" w:eastAsia="Arial" w:cs="Arial"/>
        <w:sz w:val="15"/>
        <w:szCs w:val="15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638810</wp:posOffset>
          </wp:positionH>
          <wp:positionV relativeFrom="page">
            <wp:posOffset>9475140</wp:posOffset>
          </wp:positionV>
          <wp:extent cx="6285229" cy="11429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85229" cy="114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color w:val="231F20"/>
      </w:rPr>
      <w:t>基层医学论坛 2021 年 8 月第 25 卷第 22 期                                                   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spacing w:val="-1"/>
        <w:position w:val="1"/>
      </w:rPr>
      <w:t>3157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"/>
      <w:spacing w:before="80" w:line="192" w:lineRule="auto"/>
      <w:rPr>
        <w:sz w:val="15"/>
        <w:szCs w:val="15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638810</wp:posOffset>
          </wp:positionH>
          <wp:positionV relativeFrom="page">
            <wp:posOffset>9471330</wp:posOffset>
          </wp:positionV>
          <wp:extent cx="6285229" cy="10159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85229" cy="10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5"/>
        <w:szCs w:val="15"/>
        <w:color w:val="231F20"/>
        <w:position w:val="1"/>
      </w:rPr>
      <w:t>3158                                                                                                            </w:t>
    </w:r>
    <w:r>
      <w:rPr>
        <w:rFonts w:ascii="Arial" w:hAnsi="Arial" w:eastAsia="Arial" w:cs="Arial"/>
        <w:sz w:val="15"/>
        <w:szCs w:val="15"/>
        <w:color w:val="231F20"/>
        <w:spacing w:val="-1"/>
        <w:position w:val="1"/>
      </w:rPr>
      <w:t xml:space="preserve">                                    </w:t>
    </w:r>
    <w:r>
      <w:rPr>
        <w:sz w:val="15"/>
        <w:szCs w:val="15"/>
        <w:color w:val="231F20"/>
        <w:spacing w:val="-1"/>
      </w:rPr>
      <w:t>基层医学论坛 2021 年 8 月第 25 卷第 22 期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6"/>
      <w:spacing w:before="60" w:line="176" w:lineRule="auto"/>
      <w:rPr>
        <w:sz w:val="20"/>
        <w:szCs w:val="20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sz w:val="20"/>
        <w:szCs w:val="20"/>
        <w:color w:val="231F20"/>
      </w:rPr>
      <w:drawing>
        <wp:inline distT="0" distB="0" distL="0" distR="0">
          <wp:extent cx="120649" cy="120649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0649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u w:val="single" w:color="auto"/>
        <w:color w:val="231F20"/>
        <w:spacing w:val="8"/>
      </w:rPr>
      <w:t xml:space="preserve"> 临床与实践</w:t>
    </w:r>
    <w:r>
      <w:rPr>
        <w:sz w:val="20"/>
        <w:szCs w:val="20"/>
        <w:u w:val="single" w:color="auto"/>
        <w:color w:val="231F20"/>
      </w:rPr>
      <w:t xml:space="preserve">                                                                                               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8"/>
      <w:spacing w:before="60" w:line="176" w:lineRule="auto"/>
      <w:tabs>
        <w:tab w:val="left" w:pos="9162"/>
      </w:tabs>
      <w:rPr>
        <w:sz w:val="20"/>
        <w:szCs w:val="20"/>
      </w:rPr>
    </w:pPr>
    <w:r>
      <w:pict>
        <v:shape id="WordPictureWatermark4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20"/>
        <w:szCs w:val="20"/>
        <w:u w:val="single" w:color="auto"/>
        <w:color w:val="231F20"/>
      </w:rPr>
      <w:tab/>
    </w:r>
    <w:r>
      <w:rPr>
        <w:sz w:val="20"/>
        <w:szCs w:val="20"/>
        <w:color w:val="231F20"/>
      </w:rPr>
      <w:drawing>
        <wp:inline distT="0" distB="0" distL="0" distR="0">
          <wp:extent cx="120650" cy="120649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0650" cy="120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  <w:u w:val="single" w:color="auto"/>
        <w:color w:val="231F20"/>
        <w:spacing w:val="8"/>
      </w:rPr>
      <w:t xml:space="preserve"> 临床与实践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9.png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image" Target="media/image4.png"/><Relationship Id="rId2" Type="http://schemas.openxmlformats.org/officeDocument/2006/relationships/footer" Target="footer1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2023-09-08T20:40:03Z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2025-10-28T21:33:26</vt:filetime>
  </property>
</Properties>
</file>