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74" w:lineRule="auto"/>
        <w:rPr>
          <w:rFonts w:ascii="Arial"/>
          <w:sz w:val="21"/>
        </w:rPr>
      </w:pPr>
      <w:r>
        <w:pict>
          <v:shape id="_x0000_s4" style="position:absolute;margin-left:46.2319pt;margin-top:432.743pt;mso-position-vertical-relative:page;mso-position-horizontal-relative:page;width:11pt;height:56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20"/>
                    </w:rPr>
                    <w:t>可疑异位妊娠</w:t>
                  </w:r>
                </w:p>
              </w:txbxContent>
            </v:textbox>
          </v:shape>
        </w:pict>
      </w:r>
      <w:r/>
    </w:p>
    <w:p>
      <w:pPr>
        <w:pStyle w:val="BodyText"/>
        <w:ind w:left="1394"/>
        <w:spacing w:before="189" w:line="219" w:lineRule="auto"/>
        <w:outlineLvl w:val="0"/>
        <w:rPr>
          <w:sz w:val="58"/>
          <w:szCs w:val="58"/>
        </w:rPr>
      </w:pPr>
      <w:r>
        <w:rPr>
          <w:sz w:val="58"/>
          <w:szCs w:val="58"/>
          <w:b/>
          <w:bCs/>
          <w:color w:val="2090D0"/>
          <w:spacing w:val="8"/>
        </w:rPr>
        <w:t>输卵管妊娠诊治的中国专家共识</w:t>
      </w:r>
    </w:p>
    <w:p>
      <w:pPr>
        <w:ind w:left="3739"/>
        <w:spacing w:before="249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color w:val="2080B0"/>
          <w:spacing w:val="18"/>
        </w:rPr>
        <w:t>中国优生科学协会肿瘤生殖学分会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466" w:right="179" w:firstLine="460"/>
        <w:spacing w:before="71" w:line="281" w:lineRule="auto"/>
        <w:jc w:val="both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3"/>
        </w:rPr>
        <w:t>输卵管妊娠占异位妊娠</w:t>
      </w:r>
      <w:r>
        <w:rPr>
          <w:rFonts w:ascii="SimHei" w:hAnsi="SimHei" w:eastAsia="SimHei" w:cs="SimHei"/>
          <w:sz w:val="22"/>
          <w:szCs w:val="22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ectopic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           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pregnancy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>,</w:t>
      </w:r>
      <w:r>
        <w:rPr>
          <w:rFonts w:ascii="Times New Roman" w:hAnsi="Times New Roman" w:eastAsia="Times New Roman" w:cs="Times New Roman"/>
          <w:sz w:val="22"/>
          <w:szCs w:val="22"/>
        </w:rPr>
        <w:t>EP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>) </w:t>
      </w:r>
      <w:r>
        <w:rPr>
          <w:rFonts w:ascii="SimHei" w:hAnsi="SimHei" w:eastAsia="SimHei" w:cs="SimHei"/>
          <w:sz w:val="22"/>
          <w:szCs w:val="22"/>
          <w:spacing w:val="12"/>
        </w:rPr>
        <w:t>的90%以上，是早孕期孕产妇死亡率第一位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0"/>
        </w:rPr>
        <w:t>的疾病。目前国内外对输卵管妊娠诊断方法、治疗方案均不统一，亦缺乏早期、快速诊断的方法。为</w:t>
      </w:r>
      <w:r>
        <w:rPr>
          <w:rFonts w:ascii="SimHei" w:hAnsi="SimHei" w:eastAsia="SimHei" w:cs="SimHei"/>
          <w:sz w:val="22"/>
          <w:szCs w:val="22"/>
          <w:spacing w:val="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3"/>
        </w:rPr>
        <w:t>了使国内各级妇产科医师规范诊治输卵管妊娠，降低</w:t>
      </w:r>
      <w:r>
        <w:rPr>
          <w:rFonts w:ascii="SimHei" w:hAnsi="SimHei" w:eastAsia="SimHei" w:cs="SimHei"/>
          <w:sz w:val="22"/>
          <w:szCs w:val="22"/>
          <w:spacing w:val="12"/>
        </w:rPr>
        <w:t>孕产妇死亡率，2019年5月中国优生科学协会肿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0"/>
        </w:rPr>
        <w:t>瘤生殖学分会组织国内相关领域专家在参考国外相关共识及指南，并结合国内外最新研究及我国具体</w:t>
      </w:r>
      <w:r>
        <w:rPr>
          <w:rFonts w:ascii="SimHei" w:hAnsi="SimHei" w:eastAsia="SimHei" w:cs="SimHei"/>
          <w:sz w:val="22"/>
          <w:szCs w:val="22"/>
          <w:spacing w:val="1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4"/>
        </w:rPr>
        <w:t>情况的基础上，编写“输卵管妊娠诊治的中国专家共识</w:t>
      </w:r>
      <w:r>
        <w:rPr>
          <w:rFonts w:ascii="SimHei" w:hAnsi="SimHei" w:eastAsia="SimHei" w:cs="SimHei"/>
          <w:sz w:val="22"/>
          <w:szCs w:val="22"/>
          <w:spacing w:val="13"/>
        </w:rPr>
        <w:t>”,对输卵管妊娠的规范诊断和治疗提供循证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7"/>
        </w:rPr>
        <w:t>医学指导。其中关于输卵管妊娠诊断流程图摘录如下。</w:t>
      </w:r>
    </w:p>
    <w:p>
      <w:pPr>
        <w:spacing w:before="35"/>
        <w:rPr/>
      </w:pPr>
      <w:r/>
    </w:p>
    <w:p>
      <w:pPr>
        <w:spacing w:before="35"/>
        <w:rPr/>
      </w:pPr>
      <w:r/>
    </w:p>
    <w:p>
      <w:pPr>
        <w:spacing w:before="35"/>
        <w:rPr/>
      </w:pPr>
      <w:r/>
    </w:p>
    <w:p>
      <w:pPr>
        <w:sectPr>
          <w:headerReference w:type="default" r:id="rId1"/>
          <w:pgSz w:w="12020" w:h="16720"/>
          <w:pgMar w:top="400" w:right="800" w:bottom="0" w:left="403" w:header="0" w:footer="0" w:gutter="0"/>
          <w:cols w:equalWidth="0" w:num="1">
            <w:col w:w="10817" w:space="0"/>
          </w:cols>
        </w:sectPr>
        <w:rPr/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30"/>
        <w:spacing w:before="43" w:line="219" w:lineRule="auto"/>
        <w:rPr/>
      </w:pPr>
      <w:r>
        <w:rPr>
          <w:spacing w:val="-9"/>
        </w:rPr>
        <w:t>宫内见孕囊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629"/>
        <w:spacing w:before="72" w:line="229" w:lineRule="auto"/>
        <w:rPr>
          <w:sz w:val="22"/>
          <w:szCs w:val="22"/>
        </w:rPr>
      </w:pPr>
      <w:r>
        <w:rPr>
          <w:spacing w:val="-12"/>
          <w:position w:val="9"/>
        </w:rPr>
        <w:t>超声</w:t>
      </w:r>
      <w:r>
        <w:rPr>
          <w:spacing w:val="6"/>
          <w:position w:val="9"/>
        </w:rPr>
        <w:t xml:space="preserve">   </w:t>
      </w:r>
      <w:r>
        <w:rPr>
          <w:sz w:val="22"/>
          <w:szCs w:val="22"/>
          <w:spacing w:val="-12"/>
          <w:position w:val="-2"/>
        </w:rPr>
        <w:t>宫外见孕囊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59"/>
        <w:spacing w:before="58" w:line="219" w:lineRule="auto"/>
        <w:rPr/>
      </w:pPr>
      <w:r>
        <w:rPr>
          <w:spacing w:val="-2"/>
        </w:rPr>
        <w:t>稳定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1419"/>
        <w:spacing w:before="59" w:line="220" w:lineRule="auto"/>
        <w:rPr/>
      </w:pPr>
      <w:r>
        <w:rPr>
          <w:spacing w:val="2"/>
        </w:rPr>
        <w:t>疑似</w:t>
      </w:r>
      <w:r>
        <w:rPr/>
        <w:t>EP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59" w:right="1909" w:hanging="59"/>
        <w:spacing w:before="88" w:line="224" w:lineRule="auto"/>
        <w:rPr>
          <w:sz w:val="22"/>
          <w:szCs w:val="22"/>
        </w:rPr>
      </w:pPr>
      <w:r>
        <w:rPr>
          <w:sz w:val="27"/>
          <w:szCs w:val="27"/>
          <w:spacing w:val="-7"/>
        </w:rPr>
        <w:t>生命</w:t>
      </w:r>
      <w:r>
        <w:rPr>
          <w:sz w:val="27"/>
          <w:szCs w:val="27"/>
        </w:rPr>
        <w:t xml:space="preserve"> </w:t>
      </w:r>
      <w:r>
        <w:rPr>
          <w:sz w:val="22"/>
          <w:szCs w:val="22"/>
          <w:spacing w:val="15"/>
        </w:rPr>
        <w:t>体征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59"/>
        <w:spacing w:before="59" w:line="22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1"/>
          <w:w w:val="97"/>
        </w:rPr>
        <w:t>不稳定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699" w:right="590" w:firstLine="50"/>
        <w:spacing w:before="59" w:line="212" w:lineRule="auto"/>
        <w:rPr/>
      </w:pPr>
      <w:r>
        <w:rPr>
          <w:spacing w:val="-7"/>
        </w:rPr>
        <w:t>后穹隆穿刺或</w:t>
      </w:r>
      <w:r>
        <w:rPr/>
        <w:t xml:space="preserve"> </w:t>
      </w:r>
      <w:r>
        <w:rPr>
          <w:spacing w:val="22"/>
        </w:rPr>
        <w:t>腹腔穿刺(+)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169"/>
        <w:spacing w:before="72" w:line="1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IUP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2169"/>
        <w:spacing w:before="52" w:line="1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EP</w:t>
      </w:r>
    </w:p>
    <w:p>
      <w:pPr>
        <w:spacing w:before="57"/>
        <w:rPr/>
      </w:pPr>
      <w:r/>
    </w:p>
    <w:p>
      <w:pPr>
        <w:spacing w:before="56"/>
        <w:rPr/>
      </w:pPr>
      <w:r/>
    </w:p>
    <w:tbl>
      <w:tblPr>
        <w:tblStyle w:val="TableNormal"/>
        <w:tblW w:w="202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4"/>
        <w:gridCol w:w="1133"/>
      </w:tblGrid>
      <w:tr>
        <w:trPr>
          <w:trHeight w:val="1355" w:hRule="atLeast"/>
        </w:trPr>
        <w:tc>
          <w:tcPr>
            <w:tcW w:w="894" w:type="dxa"/>
            <w:vAlign w:val="top"/>
          </w:tcPr>
          <w:p>
            <w:pPr>
              <w:spacing w:before="122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8"/>
              </w:rPr>
              <w:t>腹腔积血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before="59" w:line="22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4"/>
              </w:rPr>
              <w:t>阴道流血</w:t>
            </w:r>
          </w:p>
        </w:tc>
        <w:tc>
          <w:tcPr>
            <w:tcW w:w="1133" w:type="dxa"/>
            <w:vAlign w:val="top"/>
          </w:tcPr>
          <w:p>
            <w:pPr>
              <w:spacing w:line="191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Rp/v-hCG&gt;1</w:t>
            </w:r>
          </w:p>
          <w:p>
            <w:pPr>
              <w:spacing w:before="224" w:line="192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Rp/v-hCG&lt;1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right="9"/>
              <w:spacing w:before="52" w:line="192" w:lineRule="auto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Rv/c-hCG&gt;1</w:t>
            </w:r>
          </w:p>
          <w:p>
            <w:pPr>
              <w:ind w:right="9"/>
              <w:spacing w:before="174" w:line="119" w:lineRule="exact"/>
              <w:jc w:val="righ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  <w:position w:val="-2"/>
              </w:rPr>
              <w:t>Rv/c-hCG&lt;1</w:t>
            </w:r>
          </w:p>
        </w:tc>
      </w:tr>
    </w:tbl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59" w:line="212" w:lineRule="auto"/>
        <w:rPr>
          <w:rFonts w:ascii="Times New Roman" w:hAnsi="Times New Roman" w:eastAsia="Times New Roman" w:cs="Times New Roman"/>
        </w:rPr>
      </w:pPr>
      <w:r>
        <w:rPr/>
        <w:t>血清</w:t>
      </w:r>
      <w:r>
        <w:rPr>
          <w:rFonts w:ascii="Times New Roman" w:hAnsi="Times New Roman" w:eastAsia="Times New Roman" w:cs="Times New Roman"/>
        </w:rPr>
        <w:t>hCG&gt;1500     U/L,EN&lt;10mm</w:t>
      </w:r>
    </w:p>
    <w:p>
      <w:pPr>
        <w:pStyle w:val="BodyText"/>
        <w:ind w:left="1089" w:right="312"/>
        <w:spacing w:before="226" w:line="200" w:lineRule="auto"/>
        <w:rPr/>
      </w:pPr>
      <w:r>
        <w:rPr>
          <w:spacing w:val="3"/>
        </w:rPr>
        <w:t>间隔48h血清</w:t>
      </w:r>
      <w:r>
        <w:rPr/>
        <w:t>hCG</w:t>
      </w:r>
      <w:r>
        <w:rPr>
          <w:spacing w:val="1"/>
        </w:rPr>
        <w:t xml:space="preserve">  </w:t>
      </w:r>
      <w:r>
        <w:rPr>
          <w:spacing w:val="3"/>
        </w:rPr>
        <w:t>上升&gt;最低增幅值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519" w:right="317" w:hanging="359"/>
        <w:spacing w:before="59" w:line="202" w:lineRule="auto"/>
        <w:rPr/>
      </w:pPr>
      <w:r>
        <w:pict>
          <v:shape id="_x0000_s6" style="position:absolute;margin-left:-0.999985pt;margin-top:0.455965pt;mso-position-vertical-relative:text;mso-position-horizontal-relative:text;width:45.7pt;height:23.9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spacing w:val="-1"/>
                    </w:rPr>
                    <w:t>血清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</w:rPr>
                    <w:t>hCG</w:t>
                  </w:r>
                </w:p>
                <w:p>
                  <w:pPr>
                    <w:ind w:left="20"/>
                    <w:spacing w:before="57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&lt;3500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U/L</w:t>
                  </w:r>
                </w:p>
              </w:txbxContent>
            </v:textbox>
          </v:shape>
        </w:pict>
      </w:r>
      <w:r>
        <w:rPr>
          <w:spacing w:val="-3"/>
        </w:rPr>
        <w:t>间隔48</w:t>
      </w:r>
      <w:r>
        <w:rPr>
          <w:rFonts w:ascii="Times New Roman" w:hAnsi="Times New Roman" w:eastAsia="Times New Roman" w:cs="Times New Roman"/>
          <w:spacing w:val="-3"/>
        </w:rPr>
        <w:t>h</w:t>
      </w:r>
      <w:r>
        <w:rPr>
          <w:spacing w:val="-3"/>
        </w:rPr>
        <w:t>血清</w:t>
      </w:r>
      <w:r>
        <w:rPr>
          <w:rFonts w:ascii="Times New Roman" w:hAnsi="Times New Roman" w:eastAsia="Times New Roman" w:cs="Times New Roman"/>
          <w:spacing w:val="-3"/>
        </w:rPr>
        <w:t>hCG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-15"/>
        </w:rPr>
        <w:t>下降趋势</w:t>
      </w:r>
    </w:p>
    <w:p>
      <w:pPr>
        <w:pStyle w:val="BodyText"/>
        <w:ind w:left="1169" w:right="268" w:hanging="80"/>
        <w:spacing w:before="226" w:line="211" w:lineRule="auto"/>
        <w:rPr/>
      </w:pPr>
      <w:r>
        <w:rPr>
          <w:spacing w:val="4"/>
        </w:rPr>
        <w:t>间隔48</w:t>
      </w:r>
      <w:r>
        <w:rPr>
          <w:rFonts w:ascii="Times New Roman" w:hAnsi="Times New Roman" w:eastAsia="Times New Roman" w:cs="Times New Roman"/>
          <w:spacing w:val="4"/>
        </w:rPr>
        <w:t>h</w:t>
      </w:r>
      <w:r>
        <w:rPr>
          <w:spacing w:val="4"/>
        </w:rPr>
        <w:t>血清</w:t>
      </w:r>
      <w:r>
        <w:rPr>
          <w:rFonts w:ascii="Times New Roman" w:hAnsi="Times New Roman" w:eastAsia="Times New Roman" w:cs="Times New Roman"/>
        </w:rPr>
        <w:t>hCG  </w:t>
      </w:r>
      <w:r>
        <w:rPr>
          <w:spacing w:val="-2"/>
        </w:rPr>
        <w:t>上升&lt;最低增幅值</w:t>
      </w:r>
    </w:p>
    <w:p>
      <w:pPr>
        <w:pStyle w:val="BodyText"/>
        <w:ind w:left="69"/>
        <w:spacing w:before="259" w:line="220" w:lineRule="auto"/>
        <w:rPr/>
      </w:pPr>
      <w:r>
        <w:rPr>
          <w:spacing w:val="-2"/>
        </w:rPr>
        <w:t>血清hCG≥3500</w:t>
      </w:r>
      <w:r>
        <w:rPr>
          <w:spacing w:val="91"/>
        </w:rPr>
        <w:t xml:space="preserve"> </w:t>
      </w:r>
      <w:r>
        <w:rPr>
          <w:spacing w:val="-2"/>
        </w:rPr>
        <w:t>U/L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710"/>
        <w:spacing w:before="59" w:line="219" w:lineRule="auto"/>
        <w:rPr/>
      </w:pPr>
      <w:r>
        <w:rPr>
          <w:spacing w:val="-1"/>
        </w:rPr>
        <w:t>腹腔镜榆查或剖腹探查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650"/>
        <w:spacing w:before="52" w:line="1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EP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left="649" w:right="1664" w:hanging="59"/>
        <w:spacing w:before="52" w:line="42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IUP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EP</w:t>
      </w:r>
    </w:p>
    <w:p>
      <w:pPr>
        <w:ind w:left="590"/>
        <w:spacing w:before="83" w:line="1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IUP</w:t>
      </w:r>
    </w:p>
    <w:p>
      <w:pPr>
        <w:ind w:left="650"/>
        <w:spacing w:before="224" w:line="1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EP</w:t>
      </w:r>
    </w:p>
    <w:p>
      <w:pPr>
        <w:spacing w:before="82"/>
        <w:rPr/>
      </w:pPr>
      <w:r/>
    </w:p>
    <w:p>
      <w:pPr>
        <w:spacing w:before="82"/>
        <w:rPr/>
      </w:pPr>
      <w:r/>
    </w:p>
    <w:tbl>
      <w:tblPr>
        <w:tblStyle w:val="TableNormal"/>
        <w:tblW w:w="244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91"/>
        <w:gridCol w:w="678"/>
        <w:gridCol w:w="1074"/>
      </w:tblGrid>
      <w:tr>
        <w:trPr>
          <w:trHeight w:val="1361" w:hRule="atLeast"/>
        </w:trPr>
        <w:tc>
          <w:tcPr>
            <w:tcW w:w="691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30"/>
              <w:spacing w:before="58" w:line="219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流产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ind w:left="90" w:right="158" w:hanging="90"/>
              <w:spacing w:before="58" w:line="185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Sun" w:hAnsi="SimSun" w:eastAsia="SimSun" w:cs="SimSun"/>
                <w:sz w:val="18"/>
                <w:szCs w:val="18"/>
                <w:spacing w:val="-3"/>
              </w:rPr>
              <w:t>诊断性</w:t>
            </w:r>
            <w:r>
              <w:rPr>
                <w:rFonts w:ascii="SimSun" w:hAnsi="SimSun" w:eastAsia="SimSun" w:cs="SimSun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-2"/>
              </w:rPr>
              <w:t>刮宫</w:t>
            </w:r>
          </w:p>
        </w:tc>
        <w:tc>
          <w:tcPr>
            <w:tcW w:w="678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ind w:left="159" w:right="119"/>
              <w:spacing w:before="58" w:line="200" w:lineRule="auto"/>
              <w:rPr>
                <w:rFonts w:ascii="SimSun" w:hAnsi="SimSun" w:eastAsia="SimSun" w:cs="SimSun"/>
                <w:sz w:val="18"/>
                <w:szCs w:val="18"/>
              </w:rPr>
            </w:pPr>
            <w:r>
              <w:rPr>
                <w:rFonts w:ascii="SimHei" w:hAnsi="SimHei" w:eastAsia="SimHei" w:cs="SimHei"/>
                <w:sz w:val="18"/>
                <w:szCs w:val="18"/>
                <w:spacing w:val="-4"/>
              </w:rPr>
              <w:t>未见</w:t>
            </w:r>
            <w:r>
              <w:rPr>
                <w:rFonts w:ascii="SimHei" w:hAnsi="SimHei" w:eastAsia="SimHei" w:cs="SimHei"/>
                <w:sz w:val="18"/>
                <w:szCs w:val="18"/>
              </w:rPr>
              <w:t xml:space="preserve"> </w:t>
            </w:r>
            <w:r>
              <w:rPr>
                <w:rFonts w:ascii="SimSun" w:hAnsi="SimSun" w:eastAsia="SimSun" w:cs="SimSun"/>
                <w:sz w:val="18"/>
                <w:szCs w:val="18"/>
                <w:spacing w:val="19"/>
              </w:rPr>
              <w:t>绒毛</w:t>
            </w:r>
          </w:p>
        </w:tc>
        <w:tc>
          <w:tcPr>
            <w:tcW w:w="1074" w:type="dxa"/>
            <w:vAlign w:val="top"/>
          </w:tcPr>
          <w:p>
            <w:pPr>
              <w:ind w:left="269" w:hanging="149"/>
              <w:spacing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spacing w:val="12"/>
              </w:rPr>
              <w:t>术后12~24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2"/>
              </w:rPr>
              <w:t>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2"/>
              </w:rPr>
              <w:t>复查hCG</w:t>
            </w:r>
          </w:p>
          <w:p>
            <w:pPr>
              <w:ind w:left="120"/>
              <w:spacing w:before="257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Rv/c-hCG&gt;1</w:t>
            </w:r>
          </w:p>
          <w:p>
            <w:pPr>
              <w:ind w:left="120"/>
              <w:spacing w:before="274" w:line="192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-1"/>
              </w:rPr>
              <w:t>Rv/c-hCG&lt;1</w:t>
            </w:r>
          </w:p>
        </w:tc>
      </w:tr>
    </w:tbl>
    <w:p>
      <w:pPr>
        <w:pStyle w:val="BodyText"/>
        <w:ind w:left="900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见绒毛</w:t>
      </w:r>
    </w:p>
    <w:p>
      <w:pPr>
        <w:pStyle w:val="BodyText"/>
        <w:ind w:left="590" w:right="1404"/>
        <w:spacing w:before="257" w:line="207" w:lineRule="auto"/>
        <w:rPr/>
      </w:pPr>
      <w:r>
        <w:rPr>
          <w:spacing w:val="1"/>
        </w:rPr>
        <w:t>附件区 </w:t>
      </w:r>
      <w:r>
        <w:rPr>
          <w:spacing w:val="-3"/>
        </w:rPr>
        <w:t>见病灶</w:t>
      </w:r>
    </w:p>
    <w:p>
      <w:pPr>
        <w:pStyle w:val="BodyText"/>
        <w:ind w:left="480" w:right="1293" w:firstLine="109"/>
        <w:spacing w:before="206" w:line="259" w:lineRule="auto"/>
        <w:rPr/>
      </w:pPr>
      <w:r>
        <w:pict>
          <v:shape id="_x0000_s8" style="position:absolute;margin-left:75.5013pt;margin-top:3.71833pt;mso-position-vertical-relative:text;mso-position-horizontal-relative:text;width:48.9pt;height:30.3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Rp/v-hCG&gt;1</w:t>
                  </w:r>
                </w:p>
                <w:p>
                  <w:pPr>
                    <w:ind w:left="20"/>
                    <w:spacing w:before="234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Rp/v-hCG&lt;1</w:t>
                  </w:r>
                </w:p>
              </w:txbxContent>
            </v:textbox>
          </v:shape>
        </w:pict>
      </w:r>
      <w:r>
        <w:rPr>
          <w:spacing w:val="1"/>
        </w:rPr>
        <w:t>附件区</w:t>
      </w:r>
      <w:r>
        <w:rPr/>
        <w:t xml:space="preserve">  </w:t>
      </w:r>
      <w:r>
        <w:rPr>
          <w:spacing w:val="11"/>
        </w:rPr>
        <w:t>未见病灶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pict>
          <v:shape id="_x0000_s10" style="position:absolute;margin-left:39.4954pt;margin-top:2.18492pt;mso-position-vertical-relative:text;mso-position-horizontal-relative:text;width:23.6pt;height:36.7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20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5"/>
                    </w:rPr>
                    <w:t>EP</w:t>
                  </w:r>
                  <w:r>
                    <w:rPr>
                      <w:rFonts w:ascii="Times New Roman" w:hAnsi="Times New Roman" w:eastAsia="Times New Roman" w:cs="Times New Roman"/>
                      <w:spacing w:val="-11"/>
                    </w:rPr>
                    <w:t xml:space="preserve"> </w:t>
                  </w:r>
                  <w:r>
                    <w:rPr>
                      <w:spacing w:val="-5"/>
                    </w:rPr>
                    <w:t>或</w:t>
                  </w:r>
                  <w:r>
                    <w:rPr/>
                    <w:t xml:space="preserve"> </w:t>
                  </w:r>
                  <w:r>
                    <w:rPr>
                      <w:sz w:val="22"/>
                      <w:szCs w:val="22"/>
                      <w:spacing w:val="-5"/>
                    </w:rPr>
                    <w:t>漏刮</w:t>
                  </w:r>
                </w:p>
                <w:p>
                  <w:pPr>
                    <w:ind w:left="70"/>
                    <w:spacing w:before="77" w:line="185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"/>
                    </w:rPr>
                    <w:t>IUP</w:t>
                  </w:r>
                </w:p>
              </w:txbxContent>
            </v:textbox>
          </v:shape>
        </w:pict>
      </w:r>
      <w:r>
        <w:rPr>
          <w:sz w:val="22"/>
          <w:szCs w:val="22"/>
          <w:spacing w:val="15"/>
        </w:rPr>
        <w:t>不降</w:t>
      </w:r>
    </w:p>
    <w:p>
      <w:pPr>
        <w:pStyle w:val="BodyText"/>
        <w:ind w:left="228" w:right="850" w:hanging="159"/>
        <w:spacing w:before="196" w:line="39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9"/>
        </w:rPr>
        <w:t>下降</w:t>
      </w:r>
      <w:r>
        <w:rPr/>
        <w:t xml:space="preserve">  </w:t>
      </w:r>
      <w:r>
        <w:rPr>
          <w:rFonts w:ascii="Times New Roman" w:hAnsi="Times New Roman" w:eastAsia="Times New Roman" w:cs="Times New Roman"/>
          <w:spacing w:val="23"/>
        </w:rPr>
        <w:t>EP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IUP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ind w:left="629"/>
        <w:spacing w:before="52" w:line="1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EP</w:t>
      </w:r>
    </w:p>
    <w:p>
      <w:pPr>
        <w:pStyle w:val="BodyText"/>
        <w:ind w:left="369"/>
        <w:spacing w:before="159" w:line="219" w:lineRule="auto"/>
        <w:rPr/>
      </w:pPr>
      <w:r>
        <w:rPr>
          <w:spacing w:val="9"/>
        </w:rPr>
        <w:t>腹腔妊娠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579"/>
        <w:spacing w:before="52" w:line="1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IUP</w:t>
      </w:r>
    </w:p>
    <w:p>
      <w:pPr>
        <w:spacing w:line="185" w:lineRule="auto"/>
        <w:sectPr>
          <w:type w:val="continuous"/>
          <w:pgSz w:w="12020" w:h="16720"/>
          <w:pgMar w:top="400" w:right="800" w:bottom="0" w:left="403" w:header="0" w:footer="0" w:gutter="0"/>
          <w:cols w:equalWidth="0" w:num="5">
            <w:col w:w="1227" w:space="100"/>
            <w:col w:w="2440" w:space="100"/>
            <w:col w:w="2780" w:space="100"/>
            <w:col w:w="2541" w:space="100"/>
            <w:col w:w="1430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434" w:lineRule="auto"/>
        <w:rPr>
          <w:rFonts w:ascii="Arial"/>
          <w:sz w:val="21"/>
        </w:rPr>
      </w:pPr>
      <w:r/>
    </w:p>
    <w:p>
      <w:pPr>
        <w:ind w:left="4659"/>
        <w:spacing w:before="59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spacing w:val="3"/>
        </w:rPr>
        <w:t>图1</w:t>
      </w:r>
      <w:r>
        <w:rPr>
          <w:rFonts w:ascii="SimHei" w:hAnsi="SimHei" w:eastAsia="SimHei" w:cs="SimHei"/>
          <w:sz w:val="18"/>
          <w:szCs w:val="18"/>
          <w:spacing w:val="3"/>
        </w:rPr>
        <w:t xml:space="preserve">  </w:t>
      </w:r>
      <w:r>
        <w:rPr>
          <w:rFonts w:ascii="SimHei" w:hAnsi="SimHei" w:eastAsia="SimHei" w:cs="SimHei"/>
          <w:sz w:val="18"/>
          <w:szCs w:val="18"/>
          <w:b/>
          <w:bCs/>
          <w:spacing w:val="3"/>
        </w:rPr>
        <w:t>输卵管妊娠诊断流程图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466" w:right="219" w:firstLine="90"/>
        <w:spacing w:before="58" w:line="196" w:lineRule="auto"/>
        <w:rPr/>
      </w:pPr>
      <w:r>
        <w:rPr>
          <w:spacing w:val="-4"/>
        </w:rPr>
        <w:t>注</w:t>
      </w:r>
      <w:r>
        <w:rPr>
          <w:spacing w:val="-42"/>
        </w:rPr>
        <w:t xml:space="preserve"> </w:t>
      </w:r>
      <w:r>
        <w:rPr>
          <w:spacing w:val="-4"/>
        </w:rPr>
        <w:t>：</w:t>
      </w:r>
      <w:r>
        <w:rPr>
          <w:rFonts w:ascii="Times New Roman" w:hAnsi="Times New Roman" w:eastAsia="Times New Roman" w:cs="Times New Roman"/>
          <w:spacing w:val="-4"/>
        </w:rPr>
        <w:t>EP</w:t>
      </w:r>
      <w:r>
        <w:rPr>
          <w:spacing w:val="-4"/>
        </w:rPr>
        <w:t>为异位妊娠；</w:t>
      </w:r>
      <w:r>
        <w:rPr>
          <w:rFonts w:ascii="Times New Roman" w:hAnsi="Times New Roman" w:eastAsia="Times New Roman" w:cs="Times New Roman"/>
          <w:spacing w:val="-4"/>
        </w:rPr>
        <w:t>EN </w:t>
      </w:r>
      <w:r>
        <w:rPr>
          <w:spacing w:val="-4"/>
        </w:rPr>
        <w:t>为子宫内膜厚度；</w:t>
      </w:r>
      <w:r>
        <w:rPr>
          <w:rFonts w:ascii="Times New Roman" w:hAnsi="Times New Roman" w:eastAsia="Times New Roman" w:cs="Times New Roman"/>
          <w:spacing w:val="-4"/>
        </w:rPr>
        <w:t>IU</w:t>
      </w:r>
      <w:r>
        <w:rPr>
          <w:rFonts w:ascii="Times New Roman" w:hAnsi="Times New Roman" w:eastAsia="Times New Roman" w:cs="Times New Roman"/>
          <w:spacing w:val="-5"/>
        </w:rPr>
        <w:t>P </w:t>
      </w:r>
      <w:r>
        <w:rPr>
          <w:spacing w:val="-5"/>
        </w:rPr>
        <w:t>为宫内妊娠；</w:t>
      </w:r>
      <w:r>
        <w:rPr>
          <w:rFonts w:ascii="Times New Roman" w:hAnsi="Times New Roman" w:eastAsia="Times New Roman" w:cs="Times New Roman"/>
          <w:spacing w:val="-5"/>
        </w:rPr>
        <w:t>Rp/v-hCG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5"/>
        </w:rPr>
        <w:t>为腹腔血与静脉血</w:t>
      </w:r>
      <w:r>
        <w:rPr>
          <w:rFonts w:ascii="Times New Roman" w:hAnsi="Times New Roman" w:eastAsia="Times New Roman" w:cs="Times New Roman"/>
          <w:spacing w:val="-5"/>
        </w:rPr>
        <w:t>hCG</w:t>
      </w:r>
      <w:r>
        <w:rPr>
          <w:spacing w:val="-5"/>
        </w:rPr>
        <w:t>比</w:t>
      </w:r>
      <w:r>
        <w:rPr>
          <w:spacing w:val="-24"/>
        </w:rPr>
        <w:t xml:space="preserve"> </w:t>
      </w:r>
      <w:r>
        <w:rPr>
          <w:spacing w:val="-5"/>
        </w:rPr>
        <w:t>值</w:t>
      </w:r>
      <w:r>
        <w:rPr>
          <w:spacing w:val="-31"/>
        </w:rPr>
        <w:t xml:space="preserve"> </w:t>
      </w:r>
      <w:r>
        <w:rPr>
          <w:spacing w:val="-5"/>
        </w:rPr>
        <w:t>；</w:t>
      </w:r>
      <w:r>
        <w:rPr>
          <w:rFonts w:ascii="Times New Roman" w:hAnsi="Times New Roman" w:eastAsia="Times New Roman" w:cs="Times New Roman"/>
          <w:spacing w:val="-5"/>
        </w:rPr>
        <w:t>Rv/e-hCG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5"/>
        </w:rPr>
        <w:t>为静脉血与阴道血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hCG</w:t>
      </w:r>
      <w:r>
        <w:rPr/>
        <w:t>比值；</w:t>
      </w:r>
      <w:r>
        <w:rPr>
          <w:rFonts w:ascii="Times New Roman" w:hAnsi="Times New Roman" w:eastAsia="Times New Roman" w:cs="Times New Roman"/>
        </w:rPr>
        <w:t>hCG</w:t>
      </w:r>
      <w:r>
        <w:rPr/>
        <w:t>为血清人绒毛膜促性腺激</w:t>
      </w:r>
      <w:r>
        <w:rPr>
          <w:spacing w:val="-1"/>
        </w:rPr>
        <w:t>素。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466"/>
        <w:spacing w:before="59" w:line="212" w:lineRule="auto"/>
        <w:rPr/>
      </w:pPr>
      <w:r>
        <w:rPr>
          <w:spacing w:val="-13"/>
        </w:rPr>
        <w:t>参考文献：王玉东，陆琦.输卵管妊娠诊治的中国专家共识</w:t>
      </w:r>
      <w:r>
        <w:rPr>
          <w:rFonts w:ascii="Times New Roman" w:hAnsi="Times New Roman" w:eastAsia="Times New Roman" w:cs="Times New Roman"/>
          <w:spacing w:val="-13"/>
        </w:rPr>
        <w:t>[J].</w:t>
      </w:r>
      <w:r>
        <w:rPr>
          <w:spacing w:val="-13"/>
        </w:rPr>
        <w:t>中国实用妇科与产科杂志，2019,3</w:t>
      </w:r>
      <w:r>
        <w:rPr>
          <w:spacing w:val="-14"/>
        </w:rPr>
        <w:t>5(7):780-787.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before="59" w:line="172" w:lineRule="auto"/>
        <w:jc w:val="righ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25"/>
        </w:rPr>
        <w:t>《临床医学研究与实践》编辑部(宣)</w:t>
      </w:r>
    </w:p>
    <w:p>
      <w:pPr>
        <w:ind w:left="1766"/>
        <w:spacing w:line="230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  <w:position w:val="2"/>
        </w:rPr>
        <w:t>Academic</w:t>
      </w:r>
      <w:r>
        <w:rPr>
          <w:rFonts w:ascii="Arial" w:hAnsi="Arial" w:eastAsia="Arial" w:cs="Arial"/>
          <w:sz w:val="18"/>
          <w:szCs w:val="18"/>
          <w:spacing w:val="31"/>
          <w:position w:val="2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Journal   Electronic   Publishing   House.All   rights   reserved.     </w:t>
      </w:r>
      <w:hyperlink w:history="true" r:id="rId2">
        <w:r>
          <w:rPr>
            <w:rFonts w:ascii="Times New Roman" w:hAnsi="Times New Roman" w:eastAsia="Times New Roman" w:cs="Times New Roman"/>
            <w:sz w:val="18"/>
            <w:szCs w:val="18"/>
            <w:color w:val="C0A080"/>
            <w:spacing w:val="-1"/>
            <w:position w:val="2"/>
          </w:rPr>
          <w:t>http://www.cnki.net</w:t>
        </w:r>
      </w:hyperlink>
    </w:p>
    <w:sectPr>
      <w:type w:val="continuous"/>
      <w:pgSz w:w="12020" w:h="16720"/>
      <w:pgMar w:top="400" w:right="800" w:bottom="0" w:left="403" w:header="0" w:footer="0" w:gutter="0"/>
      <w:cols w:equalWidth="0" w:num="1">
        <w:col w:w="1081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0015pt;margin-top:250.499pt;mso-position-vertical-relative:page;mso-position-horizontal-relative:page;width:513pt;height:390.5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http://www.cnki.net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2025-10-28T21:39:31Z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2025-10-28T21:39:32</vt:filetime>
  </property>
  <property fmtid="{D5CDD505-2E9C-101B-9397-08002B2CF9AE}" pid="4" name="UsrData">
    <vt:lpwstr>6900c7900fa103001ff7877awl</vt:lpwstr>
  </property>
</Properties>
</file>