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738"/>
        <w:spacing w:before="299" w:line="226" w:lineRule="auto"/>
        <w:rPr>
          <w:rFonts w:ascii="NSimSun" w:hAnsi="NSimSun" w:eastAsia="NSimSun" w:cs="NSimSun"/>
          <w:sz w:val="20"/>
          <w:szCs w:val="20"/>
        </w:rPr>
      </w:pPr>
      <w:r>
        <w:rPr>
          <w:sz w:val="20"/>
          <w:szCs w:val="20"/>
          <w:color w:val="231F20"/>
        </w:rPr>
        <w:t>doi</w:t>
      </w:r>
      <w:r>
        <w:rPr>
          <w:sz w:val="20"/>
          <w:szCs w:val="20"/>
          <w:color w:val="231F20"/>
          <w:spacing w:val="7"/>
        </w:rPr>
        <w:t>:10.3969/j.</w:t>
      </w:r>
      <w:r>
        <w:rPr>
          <w:sz w:val="20"/>
          <w:szCs w:val="20"/>
          <w:color w:val="231F20"/>
        </w:rPr>
        <w:t>issn</w:t>
      </w:r>
      <w:r>
        <w:rPr>
          <w:sz w:val="20"/>
          <w:szCs w:val="20"/>
          <w:color w:val="231F20"/>
          <w:spacing w:val="7"/>
        </w:rPr>
        <w:t>.1009-4393.2021.26.062                         </w:t>
      </w:r>
      <w:r>
        <w:rPr>
          <w:sz w:val="20"/>
          <w:szCs w:val="20"/>
          <w:color w:val="231F20"/>
          <w:spacing w:val="6"/>
        </w:rPr>
        <w:t xml:space="preserve">           </w:t>
      </w:r>
      <w:r>
        <w:rPr>
          <w:rFonts w:ascii="NSimSun" w:hAnsi="NSimSun" w:eastAsia="NSimSun" w:cs="NSimSun"/>
          <w:sz w:val="20"/>
          <w:szCs w:val="20"/>
          <w:color w:val="231F20"/>
          <w:spacing w:val="6"/>
        </w:rPr>
        <w:t>--</w:t>
      </w:r>
      <w:r>
        <w:rPr>
          <w:sz w:val="27"/>
          <w:szCs w:val="27"/>
          <w:color w:val="231F20"/>
          <w:spacing w:val="6"/>
        </w:rPr>
        <w:t>临床研究</w:t>
      </w:r>
      <w:r>
        <w:rPr>
          <w:rFonts w:ascii="NSimSun" w:hAnsi="NSimSun" w:eastAsia="NSimSun" w:cs="NSimSun"/>
          <w:sz w:val="20"/>
          <w:szCs w:val="20"/>
          <w:color w:val="231F20"/>
          <w:spacing w:val="6"/>
        </w:rPr>
        <w:t>--</w:t>
      </w:r>
    </w:p>
    <w:p>
      <w:pPr>
        <w:spacing w:line="350" w:lineRule="auto"/>
        <w:rPr>
          <w:rFonts w:ascii="Arial"/>
          <w:sz w:val="21"/>
        </w:rPr>
      </w:pPr>
      <w:r/>
    </w:p>
    <w:p>
      <w:pPr>
        <w:pStyle w:val="BodyText"/>
        <w:ind w:left="1367"/>
        <w:spacing w:before="133" w:line="224" w:lineRule="auto"/>
        <w:rPr>
          <w:sz w:val="41"/>
          <w:szCs w:val="41"/>
        </w:rPr>
      </w:pPr>
      <w:r>
        <w:rPr>
          <w:sz w:val="41"/>
          <w:szCs w:val="41"/>
          <w:color w:val="231F20"/>
          <w:spacing w:val="8"/>
        </w:rPr>
        <w:t>老年糖尿病合并急性心肌梗死的临床治疗特点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ind w:left="2858"/>
        <w:spacing w:before="65" w:line="224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KaiTi" w:hAnsi="KaiTi" w:eastAsia="KaiTi" w:cs="KaiTi"/>
          <w:sz w:val="20"/>
          <w:szCs w:val="20"/>
          <w:color w:val="231F20"/>
          <w:spacing w:val="-16"/>
        </w:rPr>
        <w:t>马妍，金忠志刚，赵红丽，王宇，张晓丹，于月辉，蒋世兴，李潞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position w:val="8"/>
        </w:rPr>
        <w:t>*</w:t>
      </w:r>
    </w:p>
    <w:p>
      <w:pPr>
        <w:pStyle w:val="BodyText"/>
        <w:ind w:left="3276"/>
        <w:spacing w:before="76" w:line="230" w:lineRule="exact"/>
        <w:rPr/>
      </w:pPr>
      <w:r>
        <w:rPr>
          <w:color w:val="231F20"/>
          <w:spacing w:val="3"/>
          <w:position w:val="1"/>
        </w:rPr>
        <w:t>（沈阳医学院附属第二医院心内科，辽宁  沈阳</w:t>
      </w:r>
      <w:r>
        <w:rPr>
          <w:color w:val="231F20"/>
          <w:spacing w:val="20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3"/>
          <w:position w:val="1"/>
        </w:rPr>
        <w:t>110002</w:t>
      </w:r>
      <w:r>
        <w:rPr>
          <w:color w:val="231F20"/>
          <w:spacing w:val="3"/>
          <w:position w:val="1"/>
        </w:rPr>
        <w:t>）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731" w:right="62" w:firstLine="319"/>
        <w:spacing w:before="50" w:line="332" w:lineRule="auto"/>
        <w:jc w:val="both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8"/>
        </w:rPr>
        <w:t>摘要：目的</w:t>
      </w:r>
      <w:r>
        <w:rPr>
          <w:rFonts w:ascii="SimHei" w:hAnsi="SimHei" w:eastAsia="SimHei" w:cs="SimHei"/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8"/>
        </w:rPr>
        <w:t>分析老年糖尿病合并急性心肌梗死患者的临床治疗特点。</w:t>
      </w:r>
      <w:r>
        <w:rPr>
          <w:rFonts w:ascii="SimHei" w:hAnsi="SimHei" w:eastAsia="SimHei" w:cs="SimHei"/>
          <w:sz w:val="15"/>
          <w:szCs w:val="15"/>
          <w:color w:val="231F20"/>
          <w:spacing w:val="8"/>
        </w:rPr>
        <w:t>方法</w:t>
      </w:r>
      <w:r>
        <w:rPr>
          <w:rFonts w:ascii="SimHei" w:hAnsi="SimHei" w:eastAsia="SimHei" w:cs="SimHei"/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8"/>
        </w:rPr>
        <w:t>选取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>2017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8"/>
        </w:rPr>
        <w:t>年</w:t>
      </w:r>
      <w:r>
        <w:rPr>
          <w:sz w:val="15"/>
          <w:szCs w:val="15"/>
          <w:color w:val="231F20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>10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8"/>
        </w:rPr>
        <w:t>月至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>2019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8"/>
        </w:rPr>
        <w:t>年</w:t>
      </w:r>
      <w:r>
        <w:rPr>
          <w:sz w:val="15"/>
          <w:szCs w:val="15"/>
          <w:color w:val="231F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>10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8"/>
        </w:rPr>
        <w:t>月本院收治的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>60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8"/>
        </w:rPr>
        <w:t>例糖尿病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合并急性心肌梗死的老年患者作为研究组，另</w:t>
      </w:r>
      <w:r>
        <w:rPr>
          <w:sz w:val="15"/>
          <w:szCs w:val="15"/>
          <w:color w:val="231F20"/>
          <w:spacing w:val="9"/>
        </w:rPr>
        <w:t>选取本院收治的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>60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9"/>
        </w:rPr>
        <w:t>例非糖尿病的急性心肌梗死患者作为参考组。</w:t>
      </w:r>
      <w:r>
        <w:rPr>
          <w:sz w:val="15"/>
          <w:szCs w:val="15"/>
          <w:color w:val="231F20"/>
          <w:spacing w:val="-43"/>
        </w:rPr>
        <w:t xml:space="preserve"> </w:t>
      </w:r>
      <w:r>
        <w:rPr>
          <w:sz w:val="15"/>
          <w:szCs w:val="15"/>
          <w:color w:val="231F20"/>
          <w:spacing w:val="9"/>
        </w:rPr>
        <w:t>比较两组临床症状、并发症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8"/>
        </w:rPr>
        <w:t>发生率及死亡率。</w:t>
      </w:r>
      <w:r>
        <w:rPr>
          <w:rFonts w:ascii="SimHei" w:hAnsi="SimHei" w:eastAsia="SimHei" w:cs="SimHei"/>
          <w:sz w:val="15"/>
          <w:szCs w:val="15"/>
          <w:color w:val="231F20"/>
          <w:spacing w:val="8"/>
        </w:rPr>
        <w:t>结果</w:t>
      </w:r>
      <w:r>
        <w:rPr>
          <w:rFonts w:ascii="SimHei" w:hAnsi="SimHei" w:eastAsia="SimHei" w:cs="SimHei"/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8"/>
        </w:rPr>
        <w:t>两组呼吸困难、放射痛以及心悸发生率比较差异无统计学意义；两组胸痛、腹痛</w:t>
      </w:r>
      <w:r>
        <w:rPr>
          <w:sz w:val="15"/>
          <w:szCs w:val="15"/>
          <w:color w:val="231F20"/>
          <w:spacing w:val="7"/>
        </w:rPr>
        <w:t>以及恶心呕吐发生率比较差异有统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计学意义（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4"/>
        </w:rPr>
        <w:t>P</w:t>
      </w:r>
      <w:r>
        <w:rPr>
          <w:sz w:val="15"/>
          <w:szCs w:val="15"/>
          <w:color w:val="231F20"/>
          <w:spacing w:val="4"/>
        </w:rPr>
        <w:t>＜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0.05</w:t>
      </w:r>
      <w:r>
        <w:rPr>
          <w:sz w:val="15"/>
          <w:szCs w:val="15"/>
          <w:color w:val="231F20"/>
          <w:spacing w:val="4"/>
        </w:rPr>
        <w:t>）。</w:t>
      </w:r>
      <w:r>
        <w:rPr>
          <w:sz w:val="15"/>
          <w:szCs w:val="15"/>
          <w:color w:val="231F20"/>
          <w:spacing w:val="-40"/>
        </w:rPr>
        <w:t xml:space="preserve"> </w:t>
      </w:r>
      <w:r>
        <w:rPr>
          <w:sz w:val="15"/>
          <w:szCs w:val="15"/>
          <w:color w:val="231F20"/>
          <w:spacing w:val="4"/>
        </w:rPr>
        <w:t>两组休克、室壁瘤以及心律失常发生率比较差异无统计学意义；研究组感染</w:t>
      </w:r>
      <w:r>
        <w:rPr>
          <w:sz w:val="15"/>
          <w:szCs w:val="15"/>
          <w:color w:val="231F20"/>
          <w:spacing w:val="3"/>
        </w:rPr>
        <w:t>、急性肾损伤以及心力衰竭发生率均高于参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考组，差异有统计学意义（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4"/>
        </w:rPr>
        <w:t>P</w:t>
      </w:r>
      <w:r>
        <w:rPr>
          <w:sz w:val="15"/>
          <w:szCs w:val="15"/>
          <w:color w:val="231F20"/>
          <w:spacing w:val="4"/>
        </w:rPr>
        <w:t>＜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0.05</w:t>
      </w:r>
      <w:r>
        <w:rPr>
          <w:sz w:val="15"/>
          <w:szCs w:val="15"/>
          <w:color w:val="231F20"/>
          <w:spacing w:val="4"/>
        </w:rPr>
        <w:t>）。</w:t>
      </w:r>
      <w:r>
        <w:rPr>
          <w:sz w:val="15"/>
          <w:szCs w:val="15"/>
          <w:color w:val="231F20"/>
          <w:spacing w:val="-39"/>
        </w:rPr>
        <w:t xml:space="preserve"> </w:t>
      </w:r>
      <w:r>
        <w:rPr>
          <w:sz w:val="15"/>
          <w:szCs w:val="15"/>
          <w:color w:val="231F20"/>
          <w:spacing w:val="4"/>
        </w:rPr>
        <w:t>研究组死亡率为</w:t>
      </w:r>
      <w:r>
        <w:rPr>
          <w:sz w:val="15"/>
          <w:szCs w:val="15"/>
          <w:color w:val="231F20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11.67%</w:t>
      </w:r>
      <w:r>
        <w:rPr>
          <w:sz w:val="15"/>
          <w:szCs w:val="15"/>
          <w:color w:val="231F20"/>
          <w:spacing w:val="4"/>
        </w:rPr>
        <w:t>，高于参</w:t>
      </w:r>
      <w:r>
        <w:rPr>
          <w:sz w:val="15"/>
          <w:szCs w:val="15"/>
          <w:color w:val="231F20"/>
          <w:spacing w:val="3"/>
        </w:rPr>
        <w:t>考组的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5.00%</w:t>
      </w:r>
      <w:r>
        <w:rPr>
          <w:sz w:val="15"/>
          <w:szCs w:val="15"/>
          <w:color w:val="231F20"/>
          <w:spacing w:val="3"/>
        </w:rPr>
        <w:t>，但差异无统计学意义。</w:t>
      </w:r>
      <w:r>
        <w:rPr>
          <w:rFonts w:ascii="SimHei" w:hAnsi="SimHei" w:eastAsia="SimHei" w:cs="SimHei"/>
          <w:sz w:val="15"/>
          <w:szCs w:val="15"/>
          <w:color w:val="231F20"/>
          <w:spacing w:val="3"/>
        </w:rPr>
        <w:t>结论</w:t>
      </w:r>
      <w:r>
        <w:rPr>
          <w:rFonts w:ascii="SimHei" w:hAnsi="SimHei" w:eastAsia="SimHei" w:cs="SimHei"/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3"/>
        </w:rPr>
        <w:t>老年糖尿病合并急性心肌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梗死患者在治疗中并发症发生率和死亡率较高，</w:t>
      </w:r>
      <w:r>
        <w:rPr>
          <w:sz w:val="15"/>
          <w:szCs w:val="15"/>
          <w:color w:val="231F20"/>
          <w:spacing w:val="5"/>
        </w:rPr>
        <w:t>应早发现、早治疗，针对患者早期的各项临床症状进行分析，并制定合理的治疗方案以降低患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者的死亡率。</w:t>
      </w:r>
    </w:p>
    <w:p>
      <w:pPr>
        <w:pStyle w:val="BodyText"/>
        <w:ind w:left="1051"/>
        <w:spacing w:before="11" w:line="206" w:lineRule="exact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-2"/>
          <w:position w:val="1"/>
        </w:rPr>
        <w:t>关键词：</w:t>
      </w:r>
      <w:r>
        <w:rPr>
          <w:sz w:val="15"/>
          <w:szCs w:val="15"/>
          <w:color w:val="231F20"/>
          <w:spacing w:val="-2"/>
          <w:position w:val="1"/>
        </w:rPr>
        <w:t>老年糖尿病；急性心肌梗死；并发症；临床症状</w:t>
      </w:r>
    </w:p>
    <w:p>
      <w:pPr>
        <w:spacing w:before="78"/>
        <w:rPr/>
      </w:pPr>
      <w:r/>
    </w:p>
    <w:p>
      <w:pPr>
        <w:sectPr>
          <w:headerReference w:type="default" r:id="rId1"/>
          <w:footerReference w:type="default" r:id="rId2"/>
          <w:pgSz w:w="11906" w:h="16838"/>
          <w:pgMar w:top="1341" w:right="1071" w:bottom="826" w:left="407" w:header="1037" w:footer="530" w:gutter="0"/>
          <w:cols w:equalWidth="0" w:num="1">
            <w:col w:w="10427" w:space="0"/>
          </w:cols>
        </w:sectPr>
        <w:rPr/>
      </w:pPr>
    </w:p>
    <w:p>
      <w:pPr>
        <w:pStyle w:val="BodyText"/>
        <w:ind w:left="732" w:right="263" w:firstLine="360"/>
        <w:spacing w:before="32" w:line="310" w:lineRule="auto"/>
        <w:jc w:val="both"/>
        <w:rPr/>
      </w:pPr>
      <w:r>
        <w:rPr>
          <w:color w:val="231F20"/>
          <w:spacing w:val="6"/>
        </w:rPr>
        <w:t>近年来，随着经济的发展，人们生活水平不断提高及不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7"/>
        </w:rPr>
        <w:t>良生活习惯的出现，导致糖尿病发病率不断升高。糖尿病严</w:t>
      </w:r>
      <w:r>
        <w:rPr>
          <w:color w:val="231F20"/>
        </w:rPr>
        <w:t xml:space="preserve"> </w:t>
      </w:r>
      <w:r>
        <w:rPr>
          <w:color w:val="231F20"/>
        </w:rPr>
        <w:t>重影响患者身体健康，临床研究表明，糖尿病是母系遗传，当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9"/>
        </w:rPr>
        <w:t>各项指标达到危急值时则会发病，而初期发病不易被发现，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9"/>
        </w:rPr>
        <w:t>再加不科学、不合理的生活习惯会加快糖尿病的发展速度。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7"/>
        </w:rPr>
        <w:t>糖尿病是一种代谢性病症，主要是人体胰岛素的分泌出现功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能性的障碍而致使自身的血糖增高，严重甚至导致器官与组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织衰竭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8"/>
          <w:position w:val="6"/>
        </w:rPr>
        <w:t>[1] </w:t>
      </w:r>
      <w:r>
        <w:rPr>
          <w:color w:val="231F20"/>
          <w:spacing w:val="8"/>
        </w:rPr>
        <w:t>。急性心肌梗死主要由心肌缺血</w:t>
      </w:r>
      <w:r>
        <w:rPr>
          <w:color w:val="231F20"/>
          <w:spacing w:val="7"/>
        </w:rPr>
        <w:t>导致，如果未进行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有效的及时抢救，会严重威胁患者的生命安全。糖尿病与心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血管疾病的发生具有一定的关系，是心血管事件的高危因素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之一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5"/>
          <w:position w:val="6"/>
        </w:rPr>
        <w:t>[2-3] </w:t>
      </w:r>
      <w:r>
        <w:rPr>
          <w:color w:val="231F20"/>
          <w:spacing w:val="5"/>
        </w:rPr>
        <w:t>。基于此，本研究旨在分析老年糖尿病</w:t>
      </w:r>
      <w:r>
        <w:rPr>
          <w:color w:val="231F20"/>
          <w:spacing w:val="4"/>
        </w:rPr>
        <w:t>合并急性心肌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梗死的临床治疗特点，现报道如下。</w:t>
      </w:r>
    </w:p>
    <w:p>
      <w:pPr>
        <w:ind w:left="746"/>
        <w:spacing w:before="64" w:line="231" w:lineRule="exact"/>
        <w:rPr>
          <w:rFonts w:ascii="SimHei" w:hAnsi="SimHei" w:eastAsia="SimHei" w:cs="SimHei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3"/>
          <w:position w:val="1"/>
        </w:rPr>
        <w:t>1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9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3"/>
          <w:position w:val="1"/>
        </w:rPr>
        <w:t>资料与方法</w:t>
      </w:r>
    </w:p>
    <w:p>
      <w:pPr>
        <w:pStyle w:val="BodyText"/>
        <w:ind w:left="733" w:right="323" w:firstLine="13"/>
        <w:spacing w:before="126" w:line="298" w:lineRule="auto"/>
        <w:rPr/>
      </w:pPr>
      <w:r>
        <w:rPr>
          <w:rFonts w:ascii="Times New Roman" w:hAnsi="Times New Roman" w:eastAsia="Times New Roman" w:cs="Times New Roman"/>
          <w:color w:val="231F20"/>
          <w:spacing w:val="7"/>
        </w:rPr>
        <w:t>1.1    </w:t>
      </w:r>
      <w:r>
        <w:rPr>
          <w:color w:val="231F20"/>
          <w:spacing w:val="7"/>
        </w:rPr>
        <w:t>临床资料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7"/>
        </w:rPr>
        <w:t>选取</w:t>
      </w:r>
      <w:r>
        <w:rPr>
          <w:color w:val="231F20"/>
          <w:spacing w:val="-4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2017 </w:t>
      </w:r>
      <w:r>
        <w:rPr>
          <w:color w:val="231F20"/>
          <w:spacing w:val="7"/>
        </w:rPr>
        <w:t>年</w:t>
      </w:r>
      <w:r>
        <w:rPr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1</w:t>
      </w:r>
      <w:r>
        <w:rPr>
          <w:rFonts w:ascii="Times New Roman" w:hAnsi="Times New Roman" w:eastAsia="Times New Roman" w:cs="Times New Roman"/>
          <w:color w:val="231F20"/>
          <w:spacing w:val="6"/>
        </w:rPr>
        <w:t>0 </w:t>
      </w:r>
      <w:r>
        <w:rPr>
          <w:color w:val="231F20"/>
          <w:spacing w:val="6"/>
        </w:rPr>
        <w:t>月至</w:t>
      </w:r>
      <w:r>
        <w:rPr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2019</w:t>
      </w:r>
      <w:r>
        <w:rPr>
          <w:rFonts w:ascii="Times New Roman" w:hAnsi="Times New Roman" w:eastAsia="Times New Roman" w:cs="Times New Roman"/>
          <w:color w:val="231F20"/>
          <w:spacing w:val="4"/>
        </w:rPr>
        <w:t xml:space="preserve"> </w:t>
      </w:r>
      <w:r>
        <w:rPr>
          <w:color w:val="231F20"/>
          <w:spacing w:val="6"/>
        </w:rPr>
        <w:t>年</w:t>
      </w:r>
      <w:r>
        <w:rPr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10</w:t>
      </w:r>
      <w:r>
        <w:rPr>
          <w:rFonts w:ascii="Times New Roman" w:hAnsi="Times New Roman" w:eastAsia="Times New Roman" w:cs="Times New Roman"/>
          <w:color w:val="231F20"/>
          <w:spacing w:val="7"/>
        </w:rPr>
        <w:t xml:space="preserve"> </w:t>
      </w:r>
      <w:r>
        <w:rPr>
          <w:color w:val="231F20"/>
          <w:spacing w:val="6"/>
        </w:rPr>
        <w:t>月本院收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治的</w:t>
      </w:r>
      <w:r>
        <w:rPr>
          <w:color w:val="231F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7"/>
        </w:rPr>
        <w:t>60 </w:t>
      </w:r>
      <w:r>
        <w:rPr>
          <w:color w:val="231F20"/>
          <w:spacing w:val="17"/>
        </w:rPr>
        <w:t>例糖尿病合并急性心肌梗死的老年</w:t>
      </w:r>
      <w:r>
        <w:rPr>
          <w:color w:val="231F20"/>
          <w:spacing w:val="16"/>
        </w:rPr>
        <w:t>患者作为研究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组，另选取本院收治的</w:t>
      </w:r>
      <w:r>
        <w:rPr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0"/>
        </w:rPr>
        <w:t>60</w:t>
      </w:r>
      <w:r>
        <w:rPr>
          <w:rFonts w:ascii="Times New Roman" w:hAnsi="Times New Roman" w:eastAsia="Times New Roman" w:cs="Times New Roman"/>
          <w:color w:val="231F20"/>
          <w:spacing w:val="-7"/>
        </w:rPr>
        <w:t xml:space="preserve"> </w:t>
      </w:r>
      <w:r>
        <w:rPr>
          <w:color w:val="231F20"/>
          <w:spacing w:val="10"/>
        </w:rPr>
        <w:t>例非糖尿病的急性心肌梗死患者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作为参考组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2"/>
        </w:rPr>
        <w:t>。研究组男</w:t>
      </w:r>
      <w:r>
        <w:rPr>
          <w:color w:val="231F20"/>
          <w:spacing w:val="-4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40 </w:t>
      </w:r>
      <w:r>
        <w:rPr>
          <w:color w:val="231F20"/>
          <w:spacing w:val="2"/>
        </w:rPr>
        <w:t>例，女</w:t>
      </w:r>
      <w:r>
        <w:rPr>
          <w:color w:val="231F20"/>
          <w:spacing w:val="-4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20 </w:t>
      </w:r>
      <w:r>
        <w:rPr>
          <w:color w:val="231F20"/>
          <w:spacing w:val="2"/>
        </w:rPr>
        <w:t>例；年龄</w:t>
      </w:r>
      <w:r>
        <w:rPr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57</w:t>
      </w:r>
      <w:r>
        <w:rPr>
          <w:color w:val="231F20"/>
          <w:spacing w:val="2"/>
        </w:rPr>
        <w:t>～</w:t>
      </w:r>
      <w:r>
        <w:rPr>
          <w:rFonts w:ascii="Times New Roman" w:hAnsi="Times New Roman" w:eastAsia="Times New Roman" w:cs="Times New Roman"/>
          <w:color w:val="231F20"/>
          <w:spacing w:val="2"/>
        </w:rPr>
        <w:t>85 </w:t>
      </w:r>
      <w:r>
        <w:rPr>
          <w:color w:val="231F20"/>
          <w:spacing w:val="2"/>
        </w:rPr>
        <w:t>岁，平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均年龄（</w:t>
      </w:r>
      <w:r>
        <w:rPr>
          <w:rFonts w:ascii="Times New Roman" w:hAnsi="Times New Roman" w:eastAsia="Times New Roman" w:cs="Times New Roman"/>
          <w:color w:val="231F20"/>
          <w:spacing w:val="3"/>
        </w:rPr>
        <w:t>62.7±4.5</w:t>
      </w:r>
      <w:r>
        <w:rPr>
          <w:color w:val="231F20"/>
          <w:spacing w:val="3"/>
        </w:rPr>
        <w:t>）岁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3"/>
        </w:rPr>
        <w:t>。参考组男</w:t>
      </w:r>
      <w:r>
        <w:rPr>
          <w:color w:val="231F20"/>
          <w:spacing w:val="-4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42 </w:t>
      </w:r>
      <w:r>
        <w:rPr>
          <w:color w:val="231F20"/>
          <w:spacing w:val="3"/>
        </w:rPr>
        <w:t>例，</w:t>
      </w:r>
      <w:r>
        <w:rPr>
          <w:color w:val="231F20"/>
          <w:spacing w:val="2"/>
        </w:rPr>
        <w:t>女</w:t>
      </w:r>
      <w:r>
        <w:rPr>
          <w:color w:val="231F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18 </w:t>
      </w:r>
      <w:r>
        <w:rPr>
          <w:color w:val="231F20"/>
          <w:spacing w:val="2"/>
        </w:rPr>
        <w:t>例；年龄</w:t>
      </w:r>
      <w:r>
        <w:rPr>
          <w:rFonts w:ascii="Times New Roman" w:hAnsi="Times New Roman" w:eastAsia="Times New Roman" w:cs="Times New Roman"/>
          <w:color w:val="231F20"/>
          <w:spacing w:val="2"/>
        </w:rPr>
        <w:t>60</w:t>
      </w:r>
      <w:r>
        <w:rPr>
          <w:rFonts w:ascii="Times New Roman" w:hAnsi="Times New Roman" w:eastAsia="Times New Roman" w:cs="Times New Roman"/>
          <w:color w:val="231F20"/>
          <w:spacing w:val="-25"/>
        </w:rPr>
        <w:t xml:space="preserve"> </w:t>
      </w:r>
      <w:r>
        <w:rPr>
          <w:color w:val="231F20"/>
          <w:spacing w:val="2"/>
        </w:rPr>
        <w:t>~</w:t>
      </w:r>
    </w:p>
    <w:p>
      <w:pPr>
        <w:pStyle w:val="BodyText"/>
        <w:ind w:left="731" w:right="268" w:firstLine="5"/>
        <w:spacing w:before="54" w:line="299" w:lineRule="auto"/>
        <w:rPr/>
      </w:pPr>
      <w:r>
        <w:rPr>
          <w:rFonts w:ascii="Times New Roman" w:hAnsi="Times New Roman" w:eastAsia="Times New Roman" w:cs="Times New Roman"/>
          <w:color w:val="231F20"/>
          <w:spacing w:val="5"/>
        </w:rPr>
        <w:t>84 </w:t>
      </w:r>
      <w:r>
        <w:rPr>
          <w:color w:val="231F20"/>
          <w:spacing w:val="5"/>
        </w:rPr>
        <w:t>岁，平均年龄（</w:t>
      </w:r>
      <w:r>
        <w:rPr>
          <w:rFonts w:ascii="Times New Roman" w:hAnsi="Times New Roman" w:eastAsia="Times New Roman" w:cs="Times New Roman"/>
          <w:color w:val="231F20"/>
          <w:spacing w:val="5"/>
        </w:rPr>
        <w:t>64.6±5.0</w:t>
      </w:r>
      <w:r>
        <w:rPr>
          <w:color w:val="231F20"/>
          <w:spacing w:val="5"/>
        </w:rPr>
        <w:t>）岁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5"/>
        </w:rPr>
        <w:t>。两组患者临床资料比较差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异无统计学意义，具有可比性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15"/>
        </w:rPr>
        <w:t>。患者及家属均</w:t>
      </w:r>
      <w:r>
        <w:rPr>
          <w:color w:val="231F20"/>
          <w:spacing w:val="14"/>
        </w:rPr>
        <w:t>自愿参与，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并签署知情同意书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2"/>
        </w:rPr>
        <w:t>。纳入标准：均经临床确诊；无严重的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肝、肾功能障碍；治疗依从性高，可接受后期随访；未接受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心脏手术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2"/>
        </w:rPr>
        <w:t>。排除标准：沟通存在障碍者；无法完成后期随</w:t>
      </w:r>
      <w:r>
        <w:rPr>
          <w:color w:val="231F20"/>
        </w:rPr>
        <w:t xml:space="preserve"> </w:t>
      </w:r>
      <w:r>
        <w:rPr>
          <w:color w:val="231F20"/>
        </w:rPr>
        <w:t>访者；心、肝、肾等系统性疾病者；精神疾病、失语及神经功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7"/>
        </w:rPr>
        <w:t>能障碍者。</w:t>
      </w:r>
    </w:p>
    <w:p>
      <w:pPr>
        <w:pStyle w:val="BodyText"/>
        <w:ind w:left="733" w:right="323" w:firstLine="13"/>
        <w:spacing w:before="66" w:line="274" w:lineRule="auto"/>
        <w:rPr/>
      </w:pPr>
      <w:r>
        <w:rPr>
          <w:rFonts w:ascii="Times New Roman" w:hAnsi="Times New Roman" w:eastAsia="Times New Roman" w:cs="Times New Roman"/>
          <w:color w:val="231F20"/>
          <w:spacing w:val="9"/>
        </w:rPr>
        <w:t>1.2    </w:t>
      </w:r>
      <w:r>
        <w:rPr>
          <w:color w:val="231F20"/>
          <w:spacing w:val="9"/>
        </w:rPr>
        <w:t>方法  参考组患者提高监护的工作力度，尤其是出现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4"/>
        </w:rPr>
        <w:t>心率失常、衰竭及休克等症状时需长期监护。给予患者安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静的休息环境和干净的卫生环境，医嘱患者卧床休息，并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7"/>
        <w:spacing w:before="34" w:line="309" w:lineRule="auto"/>
        <w:jc w:val="both"/>
        <w:rPr/>
      </w:pPr>
      <w:r>
        <w:rPr>
          <w:color w:val="231F20"/>
          <w:spacing w:val="14"/>
        </w:rPr>
        <w:t>密切观察患者的行为。指导患者科学合理饮食，安排有利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的活动。患者出现剧烈疼痛时可服用止痛药，并给予氯吡</w:t>
      </w:r>
      <w:r>
        <w:rPr>
          <w:color w:val="231F20"/>
        </w:rPr>
        <w:t xml:space="preserve"> </w:t>
      </w:r>
      <w:r>
        <w:rPr>
          <w:color w:val="231F20"/>
          <w:spacing w:val="21"/>
        </w:rPr>
        <w:t>格雷和阿司匹林等抗血小板以及抗凝治疗，运用肝素钠</w:t>
      </w:r>
      <w:r>
        <w:rPr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0"/>
        </w:rPr>
        <w:t>500</w:t>
      </w:r>
      <w:r>
        <w:rPr>
          <w:color w:val="231F20"/>
          <w:spacing w:val="10"/>
        </w:rPr>
        <w:t>～</w:t>
      </w:r>
      <w:r>
        <w:rPr>
          <w:rFonts w:ascii="Times New Roman" w:hAnsi="Times New Roman" w:eastAsia="Times New Roman" w:cs="Times New Roman"/>
          <w:color w:val="231F20"/>
          <w:spacing w:val="10"/>
        </w:rPr>
        <w:t>1</w:t>
      </w:r>
      <w:r>
        <w:rPr>
          <w:rFonts w:ascii="Times New Roman" w:hAnsi="Times New Roman" w:eastAsia="Times New Roman" w:cs="Times New Roman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0"/>
        </w:rPr>
        <w:t>000 U/L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</w:rPr>
        <w:t xml:space="preserve"> </w:t>
      </w:r>
      <w:r>
        <w:rPr>
          <w:color w:val="231F20"/>
          <w:spacing w:val="10"/>
        </w:rPr>
        <w:t>以静脉输液</w:t>
      </w:r>
      <w:r>
        <w:rPr>
          <w:color w:val="231F20"/>
          <w:spacing w:val="-4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0"/>
        </w:rPr>
        <w:t>3</w:t>
      </w:r>
      <w:r>
        <w:rPr>
          <w:color w:val="231F20"/>
          <w:spacing w:val="10"/>
        </w:rPr>
        <w:t>～</w:t>
      </w:r>
      <w:r>
        <w:rPr>
          <w:rFonts w:ascii="Times New Roman" w:hAnsi="Times New Roman" w:eastAsia="Times New Roman" w:cs="Times New Roman"/>
          <w:color w:val="231F20"/>
          <w:spacing w:val="10"/>
        </w:rPr>
        <w:t>5</w:t>
      </w:r>
      <w:r>
        <w:rPr>
          <w:rFonts w:ascii="Times New Roman" w:hAnsi="Times New Roman" w:eastAsia="Times New Roman" w:cs="Times New Roman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0"/>
        </w:rPr>
        <w:t>d</w:t>
      </w:r>
      <w:r>
        <w:rPr>
          <w:rFonts w:ascii="Times New Roman" w:hAnsi="Times New Roman" w:eastAsia="Times New Roman" w:cs="Times New Roman"/>
          <w:color w:val="231F20"/>
          <w:spacing w:val="-18"/>
        </w:rPr>
        <w:t xml:space="preserve"> </w:t>
      </w:r>
      <w:r>
        <w:rPr>
          <w:color w:val="231F20"/>
          <w:spacing w:val="10"/>
        </w:rPr>
        <w:t>。采</w:t>
      </w:r>
      <w:r>
        <w:rPr>
          <w:color w:val="231F20"/>
          <w:spacing w:val="9"/>
        </w:rPr>
        <w:t>用硝酸酯类药物对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冠状动脉以及血管进行有效扩张，减少心肌对氧量的消耗，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8"/>
        </w:rPr>
        <w:t>并运用溶栓的方法疏通梗死的血管。</w:t>
      </w:r>
    </w:p>
    <w:p>
      <w:pPr>
        <w:pStyle w:val="BodyText"/>
        <w:ind w:left="2" w:right="62" w:firstLine="360"/>
        <w:spacing w:before="4" w:line="307" w:lineRule="auto"/>
        <w:jc w:val="both"/>
        <w:rPr/>
      </w:pPr>
      <w:r>
        <w:rPr>
          <w:color w:val="231F20"/>
          <w:spacing w:val="13"/>
        </w:rPr>
        <w:t>研究组在参考组基础上加用</w:t>
      </w:r>
      <w:r>
        <w:rPr>
          <w:color w:val="231F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3"/>
        </w:rPr>
        <w:t>α-</w:t>
      </w:r>
      <w:r>
        <w:rPr>
          <w:color w:val="231F20"/>
          <w:spacing w:val="13"/>
        </w:rPr>
        <w:t>糖苷酶抑制药和胰岛素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以及双胍类等降糖药物进行治疗，有效控制血糖的水平，当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病情稳定后运用口服类的降糖药物治疗。</w:t>
      </w:r>
    </w:p>
    <w:p>
      <w:pPr>
        <w:pStyle w:val="BodyText"/>
        <w:ind w:left="3" w:firstLine="14"/>
        <w:spacing w:before="3" w:line="294" w:lineRule="auto"/>
        <w:rPr/>
      </w:pPr>
      <w:r>
        <w:rPr>
          <w:rFonts w:ascii="Times New Roman" w:hAnsi="Times New Roman" w:eastAsia="Times New Roman" w:cs="Times New Roman"/>
          <w:color w:val="231F20"/>
          <w:spacing w:val="8"/>
        </w:rPr>
        <w:t>1.3    </w:t>
      </w:r>
      <w:r>
        <w:rPr>
          <w:color w:val="231F20"/>
          <w:spacing w:val="8"/>
        </w:rPr>
        <w:t>观察指标</w:t>
      </w:r>
      <w:r>
        <w:rPr>
          <w:color w:val="231F20"/>
          <w:spacing w:val="31"/>
        </w:rPr>
        <w:t xml:space="preserve">  </w:t>
      </w:r>
      <w:r>
        <w:rPr>
          <w:color w:val="231F20"/>
          <w:spacing w:val="8"/>
        </w:rPr>
        <w:t>比较两组各项临床症状、并发症发生率及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死亡率。①住院期间调查患者临床症状，包</w:t>
      </w:r>
      <w:r>
        <w:rPr>
          <w:color w:val="231F20"/>
          <w:spacing w:val="2"/>
        </w:rPr>
        <w:t>括胸痛、放射痛、</w:t>
      </w:r>
      <w:r>
        <w:rPr>
          <w:color w:val="231F20"/>
        </w:rPr>
        <w:t xml:space="preserve"> </w:t>
      </w:r>
      <w:r>
        <w:rPr>
          <w:color w:val="231F20"/>
        </w:rPr>
        <w:t>腹痛、恶心呕吐、呼吸困难、心悸等。②比较两组住院期间并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发症发生情况，包括感染、休克、急性肾损伤、室壁瘤、心力衰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3"/>
        </w:rPr>
        <w:t>竭、心律失常等。③比较两组死亡率。</w:t>
      </w:r>
    </w:p>
    <w:p>
      <w:pPr>
        <w:pStyle w:val="BodyText"/>
        <w:ind w:left="4" w:right="62" w:firstLine="12"/>
        <w:spacing w:before="70" w:line="285" w:lineRule="auto"/>
        <w:rPr/>
      </w:pPr>
      <w:r>
        <w:rPr>
          <w:rFonts w:ascii="Times New Roman" w:hAnsi="Times New Roman" w:eastAsia="Times New Roman" w:cs="Times New Roman"/>
          <w:color w:val="231F20"/>
          <w:spacing w:val="10"/>
        </w:rPr>
        <w:t>1.4    </w:t>
      </w:r>
      <w:r>
        <w:rPr>
          <w:color w:val="231F20"/>
          <w:spacing w:val="10"/>
        </w:rPr>
        <w:t>统计学方法  采用</w:t>
      </w:r>
      <w:r>
        <w:rPr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SPSS</w:t>
      </w:r>
      <w:r>
        <w:rPr>
          <w:rFonts w:ascii="Times New Roman" w:hAnsi="Times New Roman" w:eastAsia="Times New Roman" w:cs="Times New Roman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0"/>
        </w:rPr>
        <w:t>19.0 </w:t>
      </w:r>
      <w:r>
        <w:rPr>
          <w:color w:val="231F20"/>
          <w:spacing w:val="10"/>
        </w:rPr>
        <w:t>统计学软件进行数据分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析，计数资料以</w:t>
      </w:r>
      <w:r>
        <w:rPr>
          <w:rFonts w:ascii="Times New Roman" w:hAnsi="Times New Roman" w:eastAsia="Times New Roman" w:cs="Times New Roman"/>
          <w:color w:val="231F20"/>
          <w:spacing w:val="-8"/>
        </w:rPr>
        <w:t>[</w:t>
      </w:r>
      <w:r>
        <w:rPr>
          <w:rFonts w:ascii="Times New Roman" w:hAnsi="Times New Roman" w:eastAsia="Times New Roman" w:cs="Times New Roman"/>
          <w:i/>
          <w:iCs/>
          <w:color w:val="231F20"/>
          <w:spacing w:val="-8"/>
        </w:rPr>
        <w:t>n</w:t>
      </w:r>
      <w:r>
        <w:rPr>
          <w:color w:val="231F20"/>
          <w:spacing w:val="-8"/>
        </w:rPr>
        <w:t>（</w:t>
      </w:r>
      <w:r>
        <w:rPr>
          <w:rFonts w:ascii="Times New Roman" w:hAnsi="Times New Roman" w:eastAsia="Times New Roman" w:cs="Times New Roman"/>
          <w:color w:val="231F20"/>
          <w:spacing w:val="-8"/>
        </w:rPr>
        <w:t>%</w:t>
      </w:r>
      <w:r>
        <w:rPr>
          <w:color w:val="231F20"/>
          <w:spacing w:val="-8"/>
        </w:rPr>
        <w:t>）</w:t>
      </w:r>
      <w:r>
        <w:rPr>
          <w:rFonts w:ascii="Times New Roman" w:hAnsi="Times New Roman" w:eastAsia="Times New Roman" w:cs="Times New Roman"/>
          <w:color w:val="231F20"/>
          <w:spacing w:val="-8"/>
        </w:rPr>
        <w:t>]</w:t>
      </w:r>
      <w:r>
        <w:rPr>
          <w:color w:val="231F20"/>
          <w:spacing w:val="-8"/>
        </w:rPr>
        <w:t>表示，行</w:t>
      </w:r>
      <w:r>
        <w:rPr>
          <w:color w:val="231F20"/>
          <w:spacing w:val="-48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8"/>
        </w:rPr>
        <w:t>c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-8"/>
          <w:position w:val="7"/>
        </w:rPr>
        <w:t>2 </w:t>
      </w:r>
      <w:r>
        <w:rPr>
          <w:color w:val="231F20"/>
          <w:spacing w:val="-8"/>
        </w:rPr>
        <w:t>检验，以</w:t>
      </w:r>
      <w:r>
        <w:rPr>
          <w:rFonts w:ascii="Times New Roman" w:hAnsi="Times New Roman" w:eastAsia="Times New Roman" w:cs="Times New Roman"/>
          <w:i/>
          <w:iCs/>
          <w:color w:val="231F20"/>
          <w:spacing w:val="8"/>
        </w:rPr>
        <w:t>P</w:t>
      </w:r>
      <w:r>
        <w:rPr>
          <w:color w:val="231F20"/>
          <w:spacing w:val="8"/>
        </w:rPr>
        <w:t>＜</w:t>
      </w:r>
      <w:r>
        <w:rPr>
          <w:rFonts w:ascii="Times New Roman" w:hAnsi="Times New Roman" w:eastAsia="Times New Roman" w:cs="Times New Roman"/>
          <w:color w:val="231F20"/>
          <w:spacing w:val="8"/>
        </w:rPr>
        <w:t>0.05</w:t>
      </w:r>
      <w:r>
        <w:rPr>
          <w:rFonts w:ascii="Times New Roman" w:hAnsi="Times New Roman" w:eastAsia="Times New Roman" w:cs="Times New Roman"/>
          <w:color w:val="231F20"/>
          <w:spacing w:val="-7"/>
        </w:rPr>
        <w:t xml:space="preserve"> </w:t>
      </w:r>
      <w:r>
        <w:rPr>
          <w:color w:val="231F20"/>
          <w:spacing w:val="8"/>
        </w:rPr>
        <w:t>为差异有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统计学意义。</w:t>
      </w:r>
    </w:p>
    <w:p>
      <w:pPr>
        <w:spacing w:before="138" w:line="236" w:lineRule="exact"/>
        <w:rPr>
          <w:rFonts w:ascii="SimHei" w:hAnsi="SimHei" w:eastAsia="SimHei" w:cs="SimHei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3"/>
          <w:position w:val="1"/>
        </w:rPr>
        <w:t>2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8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3"/>
          <w:position w:val="1"/>
        </w:rPr>
        <w:t>结果</w:t>
      </w:r>
    </w:p>
    <w:p>
      <w:pPr>
        <w:pStyle w:val="BodyText"/>
        <w:ind w:left="6" w:right="62" w:hanging="6"/>
        <w:spacing w:before="122" w:line="290" w:lineRule="auto"/>
        <w:rPr/>
      </w:pPr>
      <w:r>
        <w:rPr>
          <w:rFonts w:ascii="Times New Roman" w:hAnsi="Times New Roman" w:eastAsia="Times New Roman" w:cs="Times New Roman"/>
          <w:color w:val="231F20"/>
          <w:spacing w:val="4"/>
        </w:rPr>
        <w:t>2.1    </w:t>
      </w:r>
      <w:r>
        <w:rPr>
          <w:color w:val="231F20"/>
          <w:spacing w:val="4"/>
        </w:rPr>
        <w:t>两组住院期间临床症状比较  两组呼吸困难、放射痛及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心悸发生率比较差异无统计学意义；两组胸痛、腹痛以及恶心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2"/>
        </w:rPr>
        <w:t>呕吐发生率比较差异有统计学意义（</w:t>
      </w:r>
      <w:r>
        <w:rPr>
          <w:rFonts w:ascii="Times New Roman" w:hAnsi="Times New Roman" w:eastAsia="Times New Roman" w:cs="Times New Roman"/>
          <w:i/>
          <w:iCs/>
          <w:color w:val="231F20"/>
          <w:spacing w:val="2"/>
        </w:rPr>
        <w:t>P</w:t>
      </w:r>
      <w:r>
        <w:rPr>
          <w:color w:val="231F20"/>
          <w:spacing w:val="2"/>
        </w:rPr>
        <w:t>＜</w:t>
      </w:r>
      <w:r>
        <w:rPr>
          <w:rFonts w:ascii="Times New Roman" w:hAnsi="Times New Roman" w:eastAsia="Times New Roman" w:cs="Times New Roman"/>
          <w:color w:val="231F20"/>
          <w:spacing w:val="2"/>
        </w:rPr>
        <w:t>0.05</w:t>
      </w:r>
      <w:r>
        <w:rPr>
          <w:color w:val="231F20"/>
          <w:spacing w:val="-26"/>
          <w:w w:val="57"/>
        </w:rPr>
        <w:t>），</w:t>
      </w:r>
      <w:r>
        <w:rPr>
          <w:color w:val="231F20"/>
          <w:spacing w:val="2"/>
        </w:rPr>
        <w:t>见表</w:t>
      </w:r>
      <w:r>
        <w:rPr>
          <w:rFonts w:ascii="Times New Roman" w:hAnsi="Times New Roman" w:eastAsia="Times New Roman" w:cs="Times New Roman"/>
          <w:color w:val="231F20"/>
          <w:spacing w:val="2"/>
        </w:rPr>
        <w:t>1</w:t>
      </w:r>
      <w:r>
        <w:rPr>
          <w:color w:val="231F20"/>
          <w:spacing w:val="2"/>
        </w:rPr>
        <w:t>。</w:t>
      </w:r>
    </w:p>
    <w:p>
      <w:pPr>
        <w:pStyle w:val="BodyText"/>
        <w:ind w:left="3" w:hanging="3"/>
        <w:spacing w:before="53" w:line="295" w:lineRule="auto"/>
        <w:rPr/>
      </w:pPr>
      <w:r>
        <w:rPr>
          <w:rFonts w:ascii="Times New Roman" w:hAnsi="Times New Roman" w:eastAsia="Times New Roman" w:cs="Times New Roman"/>
          <w:color w:val="231F20"/>
          <w:spacing w:val="10"/>
        </w:rPr>
        <w:t>2.2    </w:t>
      </w:r>
      <w:r>
        <w:rPr>
          <w:color w:val="231F20"/>
          <w:spacing w:val="10"/>
        </w:rPr>
        <w:t>两组住院期间并发症发生率比较  两组休克、室壁瘤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9"/>
        </w:rPr>
        <w:t>以及心律失常发生率比较差异无统计学意义；研究组感染、 </w:t>
      </w:r>
      <w:r>
        <w:rPr>
          <w:color w:val="231F20"/>
          <w:spacing w:val="7"/>
        </w:rPr>
        <w:t>急性肾损伤以及心力衰竭发生率显示高于参考组，差异</w:t>
      </w:r>
      <w:r>
        <w:rPr>
          <w:color w:val="231F20"/>
          <w:spacing w:val="6"/>
        </w:rPr>
        <w:t>有统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计学意义（</w:t>
      </w:r>
      <w:r>
        <w:rPr>
          <w:rFonts w:ascii="Times New Roman" w:hAnsi="Times New Roman" w:eastAsia="Times New Roman" w:cs="Times New Roman"/>
          <w:i/>
          <w:iCs/>
          <w:color w:val="231F20"/>
          <w:spacing w:val="4"/>
        </w:rPr>
        <w:t>P</w:t>
      </w:r>
      <w:r>
        <w:rPr>
          <w:color w:val="231F20"/>
          <w:spacing w:val="4"/>
        </w:rPr>
        <w:t>＜</w:t>
      </w:r>
      <w:r>
        <w:rPr>
          <w:rFonts w:ascii="Times New Roman" w:hAnsi="Times New Roman" w:eastAsia="Times New Roman" w:cs="Times New Roman"/>
          <w:color w:val="231F20"/>
          <w:spacing w:val="4"/>
        </w:rPr>
        <w:t>0.05</w:t>
      </w:r>
      <w:r>
        <w:rPr>
          <w:color w:val="231F20"/>
          <w:spacing w:val="-27"/>
          <w:w w:val="60"/>
        </w:rPr>
        <w:t>），</w:t>
      </w:r>
      <w:r>
        <w:rPr>
          <w:color w:val="231F20"/>
          <w:spacing w:val="4"/>
        </w:rPr>
        <w:t>见表</w:t>
      </w:r>
      <w:r>
        <w:rPr>
          <w:rFonts w:ascii="Times New Roman" w:hAnsi="Times New Roman" w:eastAsia="Times New Roman" w:cs="Times New Roman"/>
          <w:color w:val="231F20"/>
          <w:spacing w:val="4"/>
        </w:rPr>
        <w:t>2</w:t>
      </w:r>
      <w:r>
        <w:rPr>
          <w:color w:val="231F20"/>
          <w:spacing w:val="4"/>
        </w:rPr>
        <w:t>。</w:t>
      </w:r>
    </w:p>
    <w:p>
      <w:pPr>
        <w:pStyle w:val="BodyText"/>
        <w:ind w:left="5" w:right="62" w:hanging="5"/>
        <w:spacing w:before="55" w:line="280" w:lineRule="auto"/>
        <w:rPr/>
      </w:pPr>
      <w:r>
        <w:rPr>
          <w:rFonts w:ascii="Times New Roman" w:hAnsi="Times New Roman" w:eastAsia="Times New Roman" w:cs="Times New Roman"/>
          <w:color w:val="231F20"/>
          <w:spacing w:val="7"/>
        </w:rPr>
        <w:t>2.3    </w:t>
      </w:r>
      <w:r>
        <w:rPr>
          <w:color w:val="231F20"/>
          <w:spacing w:val="7"/>
        </w:rPr>
        <w:t>两组死亡率比较  研究组死亡率为</w:t>
      </w:r>
      <w:r>
        <w:rPr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11.67%</w:t>
      </w:r>
      <w:r>
        <w:rPr>
          <w:color w:val="231F20"/>
          <w:spacing w:val="7"/>
        </w:rPr>
        <w:t>，高于参考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组的</w:t>
      </w:r>
      <w:r>
        <w:rPr>
          <w:rFonts w:ascii="Times New Roman" w:hAnsi="Times New Roman" w:eastAsia="Times New Roman" w:cs="Times New Roman"/>
          <w:color w:val="231F20"/>
          <w:spacing w:val="3"/>
        </w:rPr>
        <w:t>5.00%</w:t>
      </w:r>
      <w:r>
        <w:rPr>
          <w:color w:val="231F20"/>
          <w:spacing w:val="3"/>
        </w:rPr>
        <w:t>，但差异无统计学意义。</w:t>
      </w:r>
    </w:p>
    <w:p>
      <w:pPr>
        <w:spacing w:line="280" w:lineRule="auto"/>
        <w:sectPr>
          <w:type w:val="continuous"/>
          <w:pgSz w:w="11906" w:h="16838"/>
          <w:pgMar w:top="1341" w:right="1071" w:bottom="826" w:left="407" w:header="1037" w:footer="530" w:gutter="0"/>
          <w:cols w:equalWidth="0" w:num="2">
            <w:col w:w="5659" w:space="100"/>
            <w:col w:w="4668" w:space="0"/>
          </w:cols>
        </w:sectPr>
        <w:rPr/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>
        <w:pict>
          <v:shape id="_x0000_s6" style="position:absolute;margin-left:36.4772pt;margin-top:1.57517pt;mso-position-vertical-relative:text;mso-position-horizontal-relative:text;width:85.05pt;height:0.4pt;z-index:251658240;" filled="false" strokecolor="#231F20" strokeweight="0.37pt" coordsize="1701,8" coordorigin="0,0" path="m0,3l1700,3e">
            <v:stroke joinstyle="miter" miterlimit="4"/>
          </v:shape>
        </w:pict>
      </w:r>
      <w:r/>
    </w:p>
    <w:p>
      <w:pPr>
        <w:pStyle w:val="BodyText"/>
        <w:ind w:left="735"/>
        <w:spacing w:before="50" w:line="206" w:lineRule="exact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4"/>
          <w:position w:val="1"/>
        </w:rPr>
        <w:t>资助项目：</w:t>
      </w:r>
      <w:r>
        <w:rPr>
          <w:sz w:val="15"/>
          <w:szCs w:val="15"/>
          <w:color w:val="231F20"/>
          <w:spacing w:val="4"/>
          <w:position w:val="1"/>
        </w:rPr>
        <w:t>沈阳市心血管疾病临床医学研究中心（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  <w:position w:val="1"/>
        </w:rPr>
        <w:t>19-110-4-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  <w:position w:val="1"/>
        </w:rPr>
        <w:t>28</w:t>
      </w:r>
      <w:r>
        <w:rPr>
          <w:sz w:val="15"/>
          <w:szCs w:val="15"/>
          <w:color w:val="231F20"/>
          <w:spacing w:val="3"/>
          <w:position w:val="1"/>
        </w:rPr>
        <w:t>）</w:t>
      </w:r>
    </w:p>
    <w:p>
      <w:pPr>
        <w:pStyle w:val="BodyText"/>
        <w:ind w:left="731"/>
        <w:spacing w:before="59" w:line="21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8"/>
          <w:szCs w:val="8"/>
          <w:color w:val="231F20"/>
          <w:spacing w:val="1"/>
          <w:position w:val="6"/>
        </w:rPr>
        <w:t>*</w:t>
      </w:r>
      <w:r>
        <w:rPr>
          <w:rFonts w:ascii="SimHei" w:hAnsi="SimHei" w:eastAsia="SimHei" w:cs="SimHei"/>
          <w:sz w:val="15"/>
          <w:szCs w:val="15"/>
          <w:color w:val="231F20"/>
          <w:spacing w:val="1"/>
        </w:rPr>
        <w:t>通信作者：</w:t>
      </w:r>
      <w:r>
        <w:rPr>
          <w:sz w:val="15"/>
          <w:szCs w:val="15"/>
          <w:color w:val="231F20"/>
          <w:spacing w:val="1"/>
        </w:rPr>
        <w:t>李潞，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E-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mail</w:t>
      </w:r>
      <w:r>
        <w:rPr>
          <w:sz w:val="15"/>
          <w:szCs w:val="15"/>
          <w:color w:val="231F20"/>
          <w:spacing w:val="1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liluxin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5@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sina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com</w:t>
      </w:r>
    </w:p>
    <w:p>
      <w:pPr>
        <w:spacing w:line="219" w:lineRule="auto"/>
        <w:sectPr>
          <w:type w:val="continuous"/>
          <w:pgSz w:w="11906" w:h="16838"/>
          <w:pgMar w:top="1341" w:right="1071" w:bottom="826" w:left="407" w:header="1037" w:footer="530" w:gutter="0"/>
          <w:cols w:equalWidth="0" w:num="1">
            <w:col w:w="10427" w:space="0"/>
          </w:cols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ind w:left="4140"/>
        <w:spacing w:before="247" w:line="235" w:lineRule="auto"/>
        <w:outlineLvl w:val="0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</w:rPr>
        <w:t>表</w:t>
      </w:r>
      <w:r>
        <w:rPr>
          <w:sz w:val="15"/>
          <w:szCs w:val="15"/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1    </w:t>
      </w:r>
      <w:r>
        <w:rPr>
          <w:sz w:val="15"/>
          <w:szCs w:val="15"/>
          <w:color w:val="231F20"/>
        </w:rPr>
        <w:t>两组住院期间临床症状比较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[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</w:rPr>
        <w:t>n</w:t>
      </w:r>
      <w:r>
        <w:rPr>
          <w:sz w:val="15"/>
          <w:szCs w:val="15"/>
          <w:color w:val="231F20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%</w:t>
      </w:r>
      <w:r>
        <w:rPr>
          <w:sz w:val="15"/>
          <w:szCs w:val="15"/>
          <w:color w:val="231F20"/>
        </w:rPr>
        <w:t>）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]</w:t>
      </w:r>
    </w:p>
    <w:p>
      <w:pPr>
        <w:spacing w:line="75" w:lineRule="exact"/>
        <w:rPr/>
      </w:pPr>
      <w:r/>
    </w:p>
    <w:tbl>
      <w:tblPr>
        <w:tblStyle w:val="TableNormal"/>
        <w:tblW w:w="9637" w:type="dxa"/>
        <w:tblInd w:w="72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38"/>
        <w:gridCol w:w="994"/>
        <w:gridCol w:w="1327"/>
        <w:gridCol w:w="1301"/>
        <w:gridCol w:w="1238"/>
        <w:gridCol w:w="1437"/>
        <w:gridCol w:w="1421"/>
        <w:gridCol w:w="1181"/>
      </w:tblGrid>
      <w:tr>
        <w:trPr>
          <w:trHeight w:val="242" w:hRule="atLeast"/>
        </w:trPr>
        <w:tc>
          <w:tcPr>
            <w:tcW w:w="738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8"/>
              <w:spacing w:before="38" w:line="233" w:lineRule="auto"/>
              <w:rPr/>
            </w:pPr>
            <w:r>
              <w:rPr>
                <w:color w:val="231F20"/>
                <w:spacing w:val="5"/>
              </w:rPr>
              <w:t>组别</w:t>
            </w:r>
          </w:p>
        </w:tc>
        <w:tc>
          <w:tcPr>
            <w:tcW w:w="994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362"/>
              <w:spacing w:before="38" w:line="232" w:lineRule="auto"/>
              <w:rPr/>
            </w:pPr>
            <w:r>
              <w:rPr>
                <w:color w:val="231F20"/>
                <w:spacing w:val="6"/>
              </w:rPr>
              <w:t>例数</w:t>
            </w:r>
          </w:p>
        </w:tc>
        <w:tc>
          <w:tcPr>
            <w:tcW w:w="1327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506"/>
              <w:spacing w:before="38" w:line="233" w:lineRule="auto"/>
              <w:rPr/>
            </w:pPr>
            <w:r>
              <w:rPr>
                <w:color w:val="231F20"/>
                <w:spacing w:val="7"/>
              </w:rPr>
              <w:t>胸痛</w:t>
            </w:r>
          </w:p>
        </w:tc>
        <w:tc>
          <w:tcPr>
            <w:tcW w:w="1301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430"/>
              <w:spacing w:before="38" w:line="233" w:lineRule="auto"/>
              <w:rPr/>
            </w:pPr>
            <w:r>
              <w:rPr>
                <w:color w:val="231F20"/>
                <w:spacing w:val="7"/>
              </w:rPr>
              <w:t>放射痛</w:t>
            </w:r>
          </w:p>
        </w:tc>
        <w:tc>
          <w:tcPr>
            <w:tcW w:w="1238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453"/>
              <w:spacing w:before="38" w:line="232" w:lineRule="auto"/>
              <w:rPr/>
            </w:pPr>
            <w:r>
              <w:rPr>
                <w:color w:val="231F20"/>
                <w:spacing w:val="6"/>
              </w:rPr>
              <w:t>腹痛</w:t>
            </w:r>
          </w:p>
        </w:tc>
        <w:tc>
          <w:tcPr>
            <w:tcW w:w="1437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357"/>
              <w:spacing w:before="38" w:line="238" w:lineRule="auto"/>
              <w:rPr/>
            </w:pPr>
            <w:r>
              <w:rPr>
                <w:color w:val="231F20"/>
                <w:spacing w:val="8"/>
              </w:rPr>
              <w:t>恶心呕吐</w:t>
            </w:r>
          </w:p>
        </w:tc>
        <w:tc>
          <w:tcPr>
            <w:tcW w:w="1421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461"/>
              <w:spacing w:before="38" w:line="233" w:lineRule="auto"/>
              <w:rPr/>
            </w:pPr>
            <w:r>
              <w:rPr>
                <w:color w:val="231F20"/>
                <w:spacing w:val="6"/>
              </w:rPr>
              <w:t>呼吸困难</w:t>
            </w:r>
          </w:p>
        </w:tc>
        <w:tc>
          <w:tcPr>
            <w:tcW w:w="1181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495"/>
              <w:spacing w:before="38" w:line="232" w:lineRule="auto"/>
              <w:rPr/>
            </w:pPr>
            <w:r>
              <w:rPr>
                <w:color w:val="231F20"/>
                <w:spacing w:val="5"/>
              </w:rPr>
              <w:t>心悸</w:t>
            </w:r>
          </w:p>
        </w:tc>
      </w:tr>
      <w:tr>
        <w:trPr>
          <w:trHeight w:val="241" w:hRule="atLeast"/>
        </w:trPr>
        <w:tc>
          <w:tcPr>
            <w:tcW w:w="73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"/>
              <w:spacing w:before="40" w:line="231" w:lineRule="auto"/>
              <w:rPr/>
            </w:pPr>
            <w:r>
              <w:rPr>
                <w:color w:val="231F20"/>
                <w:spacing w:val="7"/>
              </w:rPr>
              <w:t>研究组</w:t>
            </w:r>
          </w:p>
        </w:tc>
        <w:tc>
          <w:tcPr>
            <w:tcW w:w="994" w:type="dxa"/>
            <w:vAlign w:val="top"/>
            <w:tcBorders>
              <w:top w:val="single" w:color="000000" w:sz="2" w:space="0"/>
            </w:tcBorders>
          </w:tcPr>
          <w:p>
            <w:pPr>
              <w:ind w:left="443"/>
              <w:spacing w:before="35" w:line="177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1"/>
              </w:rPr>
              <w:t>60</w:t>
            </w:r>
          </w:p>
        </w:tc>
        <w:tc>
          <w:tcPr>
            <w:tcW w:w="132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24"/>
              <w:spacing w:before="35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23</w:t>
            </w:r>
            <w:r>
              <w:rPr>
                <w:color w:val="231F20"/>
                <w:spacing w:val="-5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38.33</w:t>
            </w:r>
            <w:r>
              <w:rPr>
                <w:color w:val="231F20"/>
                <w:spacing w:val="-5"/>
              </w:rPr>
              <w:t>）</w:t>
            </w:r>
          </w:p>
        </w:tc>
        <w:tc>
          <w:tcPr>
            <w:tcW w:w="130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43"/>
              <w:spacing w:before="35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12</w:t>
            </w:r>
            <w:r>
              <w:rPr>
                <w:color w:val="231F20"/>
                <w:spacing w:val="-7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20.00</w:t>
            </w:r>
            <w:r>
              <w:rPr>
                <w:color w:val="231F20"/>
                <w:spacing w:val="-7"/>
              </w:rPr>
              <w:t>）</w:t>
            </w:r>
          </w:p>
        </w:tc>
        <w:tc>
          <w:tcPr>
            <w:tcW w:w="123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13"/>
              <w:spacing w:before="35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9</w:t>
            </w:r>
            <w:r>
              <w:rPr>
                <w:color w:val="231F20"/>
                <w:spacing w:val="-7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15.00</w:t>
            </w:r>
            <w:r>
              <w:rPr>
                <w:color w:val="231F20"/>
                <w:spacing w:val="-7"/>
              </w:rPr>
              <w:t>）</w:t>
            </w:r>
          </w:p>
        </w:tc>
        <w:tc>
          <w:tcPr>
            <w:tcW w:w="143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49"/>
              <w:spacing w:before="35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13</w:t>
            </w:r>
            <w:r>
              <w:rPr>
                <w:color w:val="231F20"/>
                <w:spacing w:val="-7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21.67</w:t>
            </w:r>
            <w:r>
              <w:rPr>
                <w:color w:val="231F20"/>
                <w:spacing w:val="-7"/>
              </w:rPr>
              <w:t>）</w:t>
            </w:r>
          </w:p>
        </w:tc>
        <w:tc>
          <w:tcPr>
            <w:tcW w:w="142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45"/>
              <w:spacing w:before="35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19</w:t>
            </w:r>
            <w:r>
              <w:rPr>
                <w:color w:val="231F20"/>
                <w:spacing w:val="-7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31.67</w:t>
            </w:r>
            <w:r>
              <w:rPr>
                <w:color w:val="231F20"/>
                <w:spacing w:val="-7"/>
              </w:rPr>
              <w:t>）</w:t>
            </w:r>
          </w:p>
        </w:tc>
        <w:tc>
          <w:tcPr>
            <w:tcW w:w="118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56"/>
              <w:spacing w:before="35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8</w:t>
            </w:r>
            <w:r>
              <w:rPr>
                <w:color w:val="231F20"/>
                <w:spacing w:val="-7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13.33</w:t>
            </w:r>
            <w:r>
              <w:rPr>
                <w:color w:val="231F20"/>
                <w:spacing w:val="-7"/>
              </w:rPr>
              <w:t>）</w:t>
            </w:r>
          </w:p>
        </w:tc>
      </w:tr>
      <w:tr>
        <w:trPr>
          <w:trHeight w:val="249" w:hRule="atLeast"/>
        </w:trPr>
        <w:tc>
          <w:tcPr>
            <w:tcW w:w="738" w:type="dxa"/>
            <w:vAlign w:val="top"/>
          </w:tcPr>
          <w:p>
            <w:pPr>
              <w:pStyle w:val="TableText"/>
              <w:ind w:left="7"/>
              <w:spacing w:before="49" w:line="232" w:lineRule="auto"/>
              <w:rPr/>
            </w:pPr>
            <w:r>
              <w:rPr>
                <w:color w:val="231F20"/>
                <w:spacing w:val="7"/>
              </w:rPr>
              <w:t>参考组</w:t>
            </w:r>
          </w:p>
        </w:tc>
        <w:tc>
          <w:tcPr>
            <w:tcW w:w="994" w:type="dxa"/>
            <w:vAlign w:val="top"/>
            <w:tcBorders>
              <w:bottom w:val="single" w:color="000000" w:sz="2" w:space="0"/>
            </w:tcBorders>
          </w:tcPr>
          <w:p>
            <w:pPr>
              <w:ind w:left="443"/>
              <w:spacing w:before="44" w:line="177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1"/>
              </w:rPr>
              <w:t>60</w:t>
            </w:r>
          </w:p>
        </w:tc>
        <w:tc>
          <w:tcPr>
            <w:tcW w:w="132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27"/>
              <w:spacing w:before="44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36</w:t>
            </w:r>
            <w:r>
              <w:rPr>
                <w:color w:val="231F20"/>
                <w:spacing w:val="-5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60.00</w:t>
            </w:r>
            <w:r>
              <w:rPr>
                <w:color w:val="231F20"/>
                <w:spacing w:val="-5"/>
              </w:rPr>
              <w:t>）</w:t>
            </w:r>
          </w:p>
        </w:tc>
        <w:tc>
          <w:tcPr>
            <w:tcW w:w="130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43"/>
              <w:spacing w:before="44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10</w:t>
            </w:r>
            <w:r>
              <w:rPr>
                <w:color w:val="231F20"/>
                <w:spacing w:val="-7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16.67</w:t>
            </w:r>
            <w:r>
              <w:rPr>
                <w:color w:val="231F20"/>
                <w:spacing w:val="-7"/>
              </w:rPr>
              <w:t>）</w:t>
            </w:r>
          </w:p>
        </w:tc>
        <w:tc>
          <w:tcPr>
            <w:tcW w:w="123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94"/>
              <w:spacing w:before="44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3</w:t>
            </w:r>
            <w:r>
              <w:rPr>
                <w:color w:val="231F20"/>
                <w:spacing w:val="-8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5.00</w:t>
            </w:r>
            <w:r>
              <w:rPr>
                <w:color w:val="231F20"/>
                <w:spacing w:val="-8"/>
              </w:rPr>
              <w:t>）</w:t>
            </w:r>
          </w:p>
        </w:tc>
        <w:tc>
          <w:tcPr>
            <w:tcW w:w="143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498"/>
              <w:spacing w:before="44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5</w:t>
            </w:r>
            <w:r>
              <w:rPr>
                <w:color w:val="231F20"/>
                <w:spacing w:val="-8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8.33</w:t>
            </w:r>
            <w:r>
              <w:rPr>
                <w:color w:val="231F20"/>
                <w:spacing w:val="-8"/>
              </w:rPr>
              <w:t>）</w:t>
            </w:r>
          </w:p>
        </w:tc>
        <w:tc>
          <w:tcPr>
            <w:tcW w:w="142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445"/>
              <w:spacing w:before="44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18</w:t>
            </w:r>
            <w:r>
              <w:rPr>
                <w:color w:val="231F20"/>
                <w:spacing w:val="-7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30.00</w:t>
            </w:r>
            <w:r>
              <w:rPr>
                <w:color w:val="231F20"/>
                <w:spacing w:val="-7"/>
              </w:rPr>
              <w:t>）</w:t>
            </w:r>
          </w:p>
        </w:tc>
        <w:tc>
          <w:tcPr>
            <w:tcW w:w="118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53"/>
              <w:spacing w:before="44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9</w:t>
            </w:r>
            <w:r>
              <w:rPr>
                <w:color w:val="231F20"/>
                <w:spacing w:val="-7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15.00</w:t>
            </w:r>
            <w:r>
              <w:rPr>
                <w:color w:val="231F20"/>
                <w:spacing w:val="-7"/>
              </w:rPr>
              <w:t>）</w:t>
            </w:r>
          </w:p>
        </w:tc>
      </w:tr>
      <w:tr>
        <w:trPr>
          <w:trHeight w:val="250" w:hRule="atLeast"/>
        </w:trPr>
        <w:tc>
          <w:tcPr>
            <w:tcW w:w="738" w:type="dxa"/>
            <w:vAlign w:val="top"/>
          </w:tcPr>
          <w:p>
            <w:pPr>
              <w:pStyle w:val="TableText"/>
              <w:ind w:left="12"/>
              <w:spacing w:before="42" w:line="197" w:lineRule="exact"/>
              <w:rPr/>
            </w:pPr>
            <w:r>
              <w:rPr>
                <w:rFonts w:ascii="Arial" w:hAnsi="Arial" w:eastAsia="Arial" w:cs="Arial"/>
                <w:sz w:val="16"/>
                <w:szCs w:val="16"/>
                <w:i/>
                <w:iCs/>
                <w:color w:val="231F20"/>
                <w:position w:val="1"/>
              </w:rPr>
              <w:t>c</w:t>
            </w:r>
            <w:r>
              <w:rPr>
                <w:rFonts w:ascii="Times New Roman" w:hAnsi="Times New Roman" w:eastAsia="Times New Roman" w:cs="Times New Roman"/>
                <w:sz w:val="8"/>
                <w:szCs w:val="8"/>
                <w:color w:val="231F20"/>
                <w:position w:val="7"/>
              </w:rPr>
              <w:t>2</w:t>
            </w:r>
            <w:r>
              <w:rPr>
                <w:rFonts w:ascii="Times New Roman" w:hAnsi="Times New Roman" w:eastAsia="Times New Roman" w:cs="Times New Roman"/>
                <w:sz w:val="8"/>
                <w:szCs w:val="8"/>
                <w:color w:val="231F20"/>
                <w:spacing w:val="-3"/>
                <w:position w:val="7"/>
              </w:rPr>
              <w:t xml:space="preserve"> </w:t>
            </w:r>
            <w:r>
              <w:rPr>
                <w:color w:val="231F20"/>
                <w:position w:val="1"/>
              </w:rPr>
              <w:t>值</w:t>
            </w:r>
          </w:p>
        </w:tc>
        <w:tc>
          <w:tcPr>
            <w:tcW w:w="994" w:type="dxa"/>
            <w:vAlign w:val="top"/>
            <w:tcBorders>
              <w:top w:val="single" w:color="000000" w:sz="2" w:space="0"/>
            </w:tcBorders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327" w:type="dxa"/>
            <w:vAlign w:val="top"/>
            <w:tcBorders>
              <w:top w:val="single" w:color="000000" w:sz="2" w:space="0"/>
            </w:tcBorders>
          </w:tcPr>
          <w:p>
            <w:pPr>
              <w:ind w:left="526"/>
              <w:spacing w:before="39" w:line="177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</w:rPr>
              <w:t>6.655</w:t>
            </w:r>
          </w:p>
        </w:tc>
        <w:tc>
          <w:tcPr>
            <w:tcW w:w="1301" w:type="dxa"/>
            <w:vAlign w:val="top"/>
            <w:tcBorders>
              <w:top w:val="single" w:color="000000" w:sz="2" w:space="0"/>
            </w:tcBorders>
          </w:tcPr>
          <w:p>
            <w:pPr>
              <w:ind w:left="520"/>
              <w:spacing w:before="39" w:line="177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</w:rPr>
              <w:t>0.426</w:t>
            </w:r>
          </w:p>
        </w:tc>
        <w:tc>
          <w:tcPr>
            <w:tcW w:w="1238" w:type="dxa"/>
            <w:vAlign w:val="top"/>
            <w:tcBorders>
              <w:top w:val="single" w:color="000000" w:sz="2" w:space="0"/>
            </w:tcBorders>
          </w:tcPr>
          <w:p>
            <w:pPr>
              <w:ind w:left="521"/>
              <w:spacing w:before="39" w:line="177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2"/>
              </w:rPr>
              <w:t>5.662</w:t>
            </w:r>
          </w:p>
        </w:tc>
        <w:tc>
          <w:tcPr>
            <w:tcW w:w="1437" w:type="dxa"/>
            <w:vAlign w:val="top"/>
            <w:tcBorders>
              <w:top w:val="single" w:color="000000" w:sz="2" w:space="0"/>
            </w:tcBorders>
          </w:tcPr>
          <w:p>
            <w:pPr>
              <w:ind w:left="593"/>
              <w:spacing w:before="39" w:line="177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2"/>
              </w:rPr>
              <w:t>8.187</w:t>
            </w:r>
          </w:p>
        </w:tc>
        <w:tc>
          <w:tcPr>
            <w:tcW w:w="1421" w:type="dxa"/>
            <w:vAlign w:val="top"/>
            <w:tcBorders>
              <w:top w:val="single" w:color="000000" w:sz="2" w:space="0"/>
            </w:tcBorders>
          </w:tcPr>
          <w:p>
            <w:pPr>
              <w:ind w:left="645"/>
              <w:spacing w:before="39" w:line="177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</w:rPr>
              <w:t>0.357</w:t>
            </w:r>
          </w:p>
        </w:tc>
        <w:tc>
          <w:tcPr>
            <w:tcW w:w="1181" w:type="dxa"/>
            <w:vAlign w:val="top"/>
            <w:tcBorders>
              <w:top w:val="single" w:color="000000" w:sz="2" w:space="0"/>
            </w:tcBorders>
          </w:tcPr>
          <w:p>
            <w:pPr>
              <w:ind w:left="478"/>
              <w:spacing w:before="39" w:line="177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</w:rPr>
              <w:t>0.255</w:t>
            </w:r>
          </w:p>
        </w:tc>
      </w:tr>
      <w:tr>
        <w:trPr>
          <w:trHeight w:val="245" w:hRule="atLeast"/>
        </w:trPr>
        <w:tc>
          <w:tcPr>
            <w:tcW w:w="738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8"/>
              <w:spacing w:before="44" w:line="232" w:lineRule="auto"/>
              <w:rPr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  <w:spacing w:val="1"/>
              </w:rPr>
              <w:t>P</w:t>
            </w:r>
            <w:r>
              <w:rPr>
                <w:color w:val="231F20"/>
                <w:spacing w:val="1"/>
              </w:rPr>
              <w:t>值</w:t>
            </w:r>
          </w:p>
        </w:tc>
        <w:tc>
          <w:tcPr>
            <w:tcW w:w="994" w:type="dxa"/>
            <w:vAlign w:val="top"/>
            <w:tcBorders>
              <w:bottom w:val="single" w:color="000000" w:sz="4" w:space="0"/>
            </w:tcBorders>
          </w:tcPr>
          <w:p>
            <w:pPr>
              <w:spacing w:line="235" w:lineRule="exact"/>
              <w:rPr>
                <w:rFonts w:ascii="Arial"/>
                <w:sz w:val="20"/>
              </w:rPr>
            </w:pPr>
            <w:r/>
          </w:p>
        </w:tc>
        <w:tc>
          <w:tcPr>
            <w:tcW w:w="1327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77"/>
              <w:spacing w:before="39" w:line="241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15"/>
                <w:w w:val="102"/>
              </w:rPr>
              <w:t>&lt;</w:t>
            </w:r>
            <w:r>
              <w:rPr>
                <w:rFonts w:ascii="Times New Roman" w:hAnsi="Times New Roman" w:eastAsia="Times New Roman" w:cs="Times New Roman"/>
                <w:color w:val="231F20"/>
                <w:spacing w:val="15"/>
                <w:w w:val="102"/>
              </w:rPr>
              <w:t>0.05</w:t>
            </w:r>
          </w:p>
        </w:tc>
        <w:tc>
          <w:tcPr>
            <w:tcW w:w="130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75"/>
              <w:spacing w:before="39" w:line="241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16"/>
              </w:rPr>
              <w:t>&gt;</w:t>
            </w:r>
            <w:r>
              <w:rPr>
                <w:rFonts w:ascii="Times New Roman" w:hAnsi="Times New Roman" w:eastAsia="Times New Roman" w:cs="Times New Roman"/>
                <w:color w:val="231F20"/>
                <w:spacing w:val="16"/>
              </w:rPr>
              <w:t>0.05</w:t>
            </w:r>
          </w:p>
        </w:tc>
        <w:tc>
          <w:tcPr>
            <w:tcW w:w="1238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71"/>
              <w:spacing w:before="39" w:line="241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15"/>
                <w:w w:val="102"/>
              </w:rPr>
              <w:t>&lt;</w:t>
            </w:r>
            <w:r>
              <w:rPr>
                <w:rFonts w:ascii="Times New Roman" w:hAnsi="Times New Roman" w:eastAsia="Times New Roman" w:cs="Times New Roman"/>
                <w:color w:val="231F20"/>
                <w:spacing w:val="15"/>
                <w:w w:val="102"/>
              </w:rPr>
              <w:t>0.05</w:t>
            </w:r>
          </w:p>
        </w:tc>
        <w:tc>
          <w:tcPr>
            <w:tcW w:w="1437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41"/>
              <w:spacing w:before="39" w:line="241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15"/>
                <w:w w:val="102"/>
              </w:rPr>
              <w:t>&lt;</w:t>
            </w:r>
            <w:r>
              <w:rPr>
                <w:rFonts w:ascii="Times New Roman" w:hAnsi="Times New Roman" w:eastAsia="Times New Roman" w:cs="Times New Roman"/>
                <w:color w:val="231F20"/>
                <w:spacing w:val="15"/>
                <w:w w:val="102"/>
              </w:rPr>
              <w:t>0.05</w:t>
            </w:r>
          </w:p>
        </w:tc>
        <w:tc>
          <w:tcPr>
            <w:tcW w:w="142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500"/>
              <w:spacing w:before="39" w:line="241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16"/>
              </w:rPr>
              <w:t>&gt;</w:t>
            </w:r>
            <w:r>
              <w:rPr>
                <w:rFonts w:ascii="Times New Roman" w:hAnsi="Times New Roman" w:eastAsia="Times New Roman" w:cs="Times New Roman"/>
                <w:color w:val="231F20"/>
                <w:spacing w:val="16"/>
              </w:rPr>
              <w:t>0.05</w:t>
            </w:r>
          </w:p>
        </w:tc>
        <w:tc>
          <w:tcPr>
            <w:tcW w:w="118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33"/>
              <w:spacing w:before="39" w:line="241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16"/>
              </w:rPr>
              <w:t>&gt;</w:t>
            </w:r>
            <w:r>
              <w:rPr>
                <w:rFonts w:ascii="Times New Roman" w:hAnsi="Times New Roman" w:eastAsia="Times New Roman" w:cs="Times New Roman"/>
                <w:color w:val="231F20"/>
                <w:spacing w:val="16"/>
              </w:rPr>
              <w:t>0.05</w:t>
            </w:r>
          </w:p>
        </w:tc>
      </w:tr>
    </w:tbl>
    <w:p>
      <w:pPr>
        <w:pStyle w:val="BodyText"/>
        <w:ind w:left="3980"/>
        <w:spacing w:before="198" w:line="235" w:lineRule="auto"/>
        <w:outlineLvl w:val="0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表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2    </w:t>
      </w:r>
      <w:r>
        <w:rPr>
          <w:sz w:val="15"/>
          <w:szCs w:val="15"/>
          <w:color w:val="231F20"/>
          <w:spacing w:val="2"/>
        </w:rPr>
        <w:t>两组住院期间并发症发生率比较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[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2"/>
        </w:rPr>
        <w:t>n</w:t>
      </w:r>
      <w:r>
        <w:rPr>
          <w:sz w:val="15"/>
          <w:szCs w:val="15"/>
          <w:color w:val="231F20"/>
          <w:spacing w:val="2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%</w:t>
      </w:r>
      <w:r>
        <w:rPr>
          <w:sz w:val="15"/>
          <w:szCs w:val="15"/>
          <w:color w:val="231F20"/>
          <w:spacing w:val="2"/>
        </w:rPr>
        <w:t>）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]</w:t>
      </w:r>
    </w:p>
    <w:p>
      <w:pPr>
        <w:spacing w:line="75" w:lineRule="exact"/>
        <w:rPr/>
      </w:pPr>
      <w:r/>
    </w:p>
    <w:tbl>
      <w:tblPr>
        <w:tblStyle w:val="TableNormal"/>
        <w:tblW w:w="9637" w:type="dxa"/>
        <w:tblInd w:w="72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14"/>
        <w:gridCol w:w="1109"/>
        <w:gridCol w:w="1252"/>
        <w:gridCol w:w="1219"/>
        <w:gridCol w:w="1508"/>
        <w:gridCol w:w="1376"/>
        <w:gridCol w:w="1191"/>
        <w:gridCol w:w="1368"/>
      </w:tblGrid>
      <w:tr>
        <w:trPr>
          <w:trHeight w:val="242" w:hRule="atLeast"/>
        </w:trPr>
        <w:tc>
          <w:tcPr>
            <w:tcW w:w="614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8"/>
              <w:spacing w:before="38" w:line="233" w:lineRule="auto"/>
              <w:rPr/>
            </w:pPr>
            <w:r>
              <w:rPr>
                <w:color w:val="231F20"/>
                <w:spacing w:val="5"/>
              </w:rPr>
              <w:t>组别</w:t>
            </w:r>
          </w:p>
        </w:tc>
        <w:tc>
          <w:tcPr>
            <w:tcW w:w="1109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440"/>
              <w:spacing w:before="38" w:line="232" w:lineRule="auto"/>
              <w:rPr/>
            </w:pPr>
            <w:r>
              <w:rPr>
                <w:color w:val="231F20"/>
                <w:spacing w:val="6"/>
              </w:rPr>
              <w:t>例数</w:t>
            </w:r>
          </w:p>
        </w:tc>
        <w:tc>
          <w:tcPr>
            <w:tcW w:w="1252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528"/>
              <w:spacing w:before="38" w:line="232" w:lineRule="auto"/>
              <w:rPr/>
            </w:pPr>
            <w:r>
              <w:rPr>
                <w:color w:val="231F20"/>
                <w:spacing w:val="7"/>
              </w:rPr>
              <w:t>休克</w:t>
            </w:r>
          </w:p>
        </w:tc>
        <w:tc>
          <w:tcPr>
            <w:tcW w:w="1219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414"/>
              <w:spacing w:before="38" w:line="233" w:lineRule="auto"/>
              <w:rPr/>
            </w:pPr>
            <w:r>
              <w:rPr>
                <w:color w:val="231F20"/>
                <w:spacing w:val="6"/>
              </w:rPr>
              <w:t>感染</w:t>
            </w:r>
          </w:p>
        </w:tc>
        <w:tc>
          <w:tcPr>
            <w:tcW w:w="1508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328"/>
              <w:spacing w:before="38" w:line="232" w:lineRule="auto"/>
              <w:rPr/>
            </w:pPr>
            <w:r>
              <w:rPr>
                <w:color w:val="231F20"/>
                <w:spacing w:val="7"/>
              </w:rPr>
              <w:t>急性肾损伤</w:t>
            </w:r>
          </w:p>
        </w:tc>
        <w:tc>
          <w:tcPr>
            <w:tcW w:w="1376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426"/>
              <w:spacing w:before="38" w:line="231" w:lineRule="auto"/>
              <w:rPr/>
            </w:pPr>
            <w:r>
              <w:rPr>
                <w:color w:val="231F20"/>
                <w:spacing w:val="7"/>
              </w:rPr>
              <w:t>心力衰竭</w:t>
            </w:r>
          </w:p>
        </w:tc>
        <w:tc>
          <w:tcPr>
            <w:tcW w:w="1191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380"/>
              <w:spacing w:before="38" w:line="234" w:lineRule="auto"/>
              <w:rPr/>
            </w:pPr>
            <w:r>
              <w:rPr>
                <w:color w:val="231F20"/>
                <w:spacing w:val="7"/>
              </w:rPr>
              <w:t>室壁瘤</w:t>
            </w:r>
          </w:p>
        </w:tc>
        <w:tc>
          <w:tcPr>
            <w:tcW w:w="1368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361"/>
              <w:spacing w:before="38" w:line="232" w:lineRule="auto"/>
              <w:rPr/>
            </w:pPr>
            <w:r>
              <w:rPr>
                <w:color w:val="231F20"/>
                <w:spacing w:val="7"/>
              </w:rPr>
              <w:t>心律失常</w:t>
            </w:r>
          </w:p>
        </w:tc>
      </w:tr>
      <w:tr>
        <w:trPr>
          <w:trHeight w:val="241" w:hRule="atLeast"/>
        </w:trPr>
        <w:tc>
          <w:tcPr>
            <w:tcW w:w="61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"/>
              <w:spacing w:before="40" w:line="231" w:lineRule="auto"/>
              <w:rPr/>
            </w:pPr>
            <w:r>
              <w:rPr>
                <w:color w:val="231F20"/>
                <w:spacing w:val="7"/>
              </w:rPr>
              <w:t>研究组</w:t>
            </w:r>
          </w:p>
        </w:tc>
        <w:tc>
          <w:tcPr>
            <w:tcW w:w="1109" w:type="dxa"/>
            <w:vAlign w:val="top"/>
            <w:tcBorders>
              <w:top w:val="single" w:color="000000" w:sz="2" w:space="0"/>
            </w:tcBorders>
          </w:tcPr>
          <w:p>
            <w:pPr>
              <w:ind w:left="521"/>
              <w:spacing w:before="35" w:line="177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1"/>
              </w:rPr>
              <w:t>60</w:t>
            </w:r>
          </w:p>
        </w:tc>
        <w:tc>
          <w:tcPr>
            <w:tcW w:w="125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61"/>
              <w:spacing w:before="35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14</w:t>
            </w:r>
            <w:r>
              <w:rPr>
                <w:color w:val="231F20"/>
                <w:spacing w:val="-7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23.33</w:t>
            </w:r>
            <w:r>
              <w:rPr>
                <w:color w:val="231F20"/>
                <w:spacing w:val="-7"/>
              </w:rPr>
              <w:t>）</w:t>
            </w:r>
          </w:p>
        </w:tc>
        <w:tc>
          <w:tcPr>
            <w:tcW w:w="121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46"/>
              <w:spacing w:before="35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10</w:t>
            </w:r>
            <w:r>
              <w:rPr>
                <w:color w:val="231F20"/>
                <w:spacing w:val="-7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16.67</w:t>
            </w:r>
            <w:r>
              <w:rPr>
                <w:color w:val="231F20"/>
                <w:spacing w:val="-7"/>
              </w:rPr>
              <w:t>）</w:t>
            </w:r>
          </w:p>
        </w:tc>
        <w:tc>
          <w:tcPr>
            <w:tcW w:w="150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23"/>
              <w:spacing w:before="35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9</w:t>
            </w:r>
            <w:r>
              <w:rPr>
                <w:color w:val="231F20"/>
                <w:spacing w:val="-7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15.00</w:t>
            </w:r>
            <w:r>
              <w:rPr>
                <w:color w:val="231F20"/>
                <w:spacing w:val="-7"/>
              </w:rPr>
              <w:t>）</w:t>
            </w:r>
          </w:p>
        </w:tc>
        <w:tc>
          <w:tcPr>
            <w:tcW w:w="137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00"/>
              <w:spacing w:before="35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24</w:t>
            </w:r>
            <w:r>
              <w:rPr>
                <w:color w:val="231F20"/>
                <w:spacing w:val="-5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40.00</w:t>
            </w:r>
            <w:r>
              <w:rPr>
                <w:color w:val="231F20"/>
                <w:spacing w:val="-5"/>
              </w:rPr>
              <w:t>）</w:t>
            </w:r>
          </w:p>
        </w:tc>
        <w:tc>
          <w:tcPr>
            <w:tcW w:w="119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54"/>
              <w:spacing w:before="35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4</w:t>
            </w:r>
            <w:r>
              <w:rPr>
                <w:color w:val="231F20"/>
                <w:spacing w:val="-8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6.67</w:t>
            </w:r>
            <w:r>
              <w:rPr>
                <w:color w:val="231F20"/>
                <w:spacing w:val="-8"/>
              </w:rPr>
              <w:t>）</w:t>
            </w:r>
          </w:p>
        </w:tc>
        <w:tc>
          <w:tcPr>
            <w:tcW w:w="136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36"/>
              <w:spacing w:before="35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22</w:t>
            </w:r>
            <w:r>
              <w:rPr>
                <w:color w:val="231F20"/>
                <w:spacing w:val="-5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36.67</w:t>
            </w:r>
            <w:r>
              <w:rPr>
                <w:color w:val="231F20"/>
                <w:spacing w:val="-5"/>
              </w:rPr>
              <w:t>）</w:t>
            </w:r>
          </w:p>
        </w:tc>
      </w:tr>
      <w:tr>
        <w:trPr>
          <w:trHeight w:val="249" w:hRule="atLeast"/>
        </w:trPr>
        <w:tc>
          <w:tcPr>
            <w:tcW w:w="614" w:type="dxa"/>
            <w:vAlign w:val="top"/>
          </w:tcPr>
          <w:p>
            <w:pPr>
              <w:pStyle w:val="TableText"/>
              <w:ind w:left="7"/>
              <w:spacing w:before="49" w:line="232" w:lineRule="auto"/>
              <w:rPr/>
            </w:pPr>
            <w:r>
              <w:rPr>
                <w:color w:val="231F20"/>
                <w:spacing w:val="7"/>
              </w:rPr>
              <w:t>参考组</w:t>
            </w:r>
          </w:p>
        </w:tc>
        <w:tc>
          <w:tcPr>
            <w:tcW w:w="1109" w:type="dxa"/>
            <w:vAlign w:val="top"/>
            <w:tcBorders>
              <w:bottom w:val="single" w:color="000000" w:sz="2" w:space="0"/>
            </w:tcBorders>
          </w:tcPr>
          <w:p>
            <w:pPr>
              <w:ind w:left="521"/>
              <w:spacing w:before="44" w:line="177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1"/>
              </w:rPr>
              <w:t>60</w:t>
            </w:r>
          </w:p>
        </w:tc>
        <w:tc>
          <w:tcPr>
            <w:tcW w:w="125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61"/>
              <w:spacing w:before="44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13</w:t>
            </w:r>
            <w:r>
              <w:rPr>
                <w:color w:val="231F20"/>
                <w:spacing w:val="-7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21.67</w:t>
            </w:r>
            <w:r>
              <w:rPr>
                <w:color w:val="231F20"/>
                <w:spacing w:val="-7"/>
              </w:rPr>
              <w:t>）</w:t>
            </w:r>
          </w:p>
        </w:tc>
        <w:tc>
          <w:tcPr>
            <w:tcW w:w="121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95"/>
              <w:spacing w:before="44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5</w:t>
            </w:r>
            <w:r>
              <w:rPr>
                <w:color w:val="231F20"/>
                <w:spacing w:val="-8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8.33</w:t>
            </w:r>
            <w:r>
              <w:rPr>
                <w:color w:val="231F20"/>
                <w:spacing w:val="-8"/>
              </w:rPr>
              <w:t>）</w:t>
            </w:r>
          </w:p>
        </w:tc>
        <w:tc>
          <w:tcPr>
            <w:tcW w:w="150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503"/>
              <w:spacing w:before="44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3</w:t>
            </w:r>
            <w:r>
              <w:rPr>
                <w:color w:val="231F20"/>
                <w:spacing w:val="-8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5.00</w:t>
            </w:r>
            <w:r>
              <w:rPr>
                <w:color w:val="231F20"/>
                <w:spacing w:val="-8"/>
              </w:rPr>
              <w:t>）</w:t>
            </w:r>
          </w:p>
        </w:tc>
        <w:tc>
          <w:tcPr>
            <w:tcW w:w="137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416"/>
              <w:spacing w:before="44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12</w:t>
            </w:r>
            <w:r>
              <w:rPr>
                <w:color w:val="231F20"/>
                <w:spacing w:val="-7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20.00</w:t>
            </w:r>
            <w:r>
              <w:rPr>
                <w:color w:val="231F20"/>
                <w:spacing w:val="-7"/>
              </w:rPr>
              <w:t>）</w:t>
            </w:r>
          </w:p>
        </w:tc>
        <w:tc>
          <w:tcPr>
            <w:tcW w:w="119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58"/>
              <w:spacing w:before="44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3</w:t>
            </w:r>
            <w:r>
              <w:rPr>
                <w:color w:val="231F20"/>
                <w:spacing w:val="-8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5.00</w:t>
            </w:r>
            <w:r>
              <w:rPr>
                <w:color w:val="231F20"/>
                <w:spacing w:val="-8"/>
              </w:rPr>
              <w:t>）</w:t>
            </w:r>
          </w:p>
        </w:tc>
        <w:tc>
          <w:tcPr>
            <w:tcW w:w="136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36"/>
              <w:spacing w:before="44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21</w:t>
            </w:r>
            <w:r>
              <w:rPr>
                <w:color w:val="231F20"/>
                <w:spacing w:val="-5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35.00</w:t>
            </w:r>
            <w:r>
              <w:rPr>
                <w:color w:val="231F20"/>
                <w:spacing w:val="-5"/>
              </w:rPr>
              <w:t>）</w:t>
            </w:r>
          </w:p>
        </w:tc>
      </w:tr>
      <w:tr>
        <w:trPr>
          <w:trHeight w:val="250" w:hRule="atLeast"/>
        </w:trPr>
        <w:tc>
          <w:tcPr>
            <w:tcW w:w="614" w:type="dxa"/>
            <w:vAlign w:val="top"/>
          </w:tcPr>
          <w:p>
            <w:pPr>
              <w:pStyle w:val="TableText"/>
              <w:ind w:left="12"/>
              <w:spacing w:before="42" w:line="197" w:lineRule="exact"/>
              <w:rPr/>
            </w:pPr>
            <w:r>
              <w:rPr>
                <w:rFonts w:ascii="Arial" w:hAnsi="Arial" w:eastAsia="Arial" w:cs="Arial"/>
                <w:sz w:val="16"/>
                <w:szCs w:val="16"/>
                <w:i/>
                <w:iCs/>
                <w:color w:val="231F20"/>
                <w:position w:val="1"/>
              </w:rPr>
              <w:t>c</w:t>
            </w:r>
            <w:r>
              <w:rPr>
                <w:rFonts w:ascii="Times New Roman" w:hAnsi="Times New Roman" w:eastAsia="Times New Roman" w:cs="Times New Roman"/>
                <w:sz w:val="8"/>
                <w:szCs w:val="8"/>
                <w:color w:val="231F20"/>
                <w:position w:val="7"/>
              </w:rPr>
              <w:t>2</w:t>
            </w:r>
            <w:r>
              <w:rPr>
                <w:rFonts w:ascii="Times New Roman" w:hAnsi="Times New Roman" w:eastAsia="Times New Roman" w:cs="Times New Roman"/>
                <w:sz w:val="8"/>
                <w:szCs w:val="8"/>
                <w:color w:val="231F20"/>
                <w:spacing w:val="-3"/>
                <w:position w:val="7"/>
              </w:rPr>
              <w:t xml:space="preserve"> </w:t>
            </w:r>
            <w:r>
              <w:rPr>
                <w:color w:val="231F20"/>
                <w:position w:val="1"/>
              </w:rPr>
              <w:t>值</w:t>
            </w:r>
          </w:p>
        </w:tc>
        <w:tc>
          <w:tcPr>
            <w:tcW w:w="1109" w:type="dxa"/>
            <w:vAlign w:val="top"/>
            <w:tcBorders>
              <w:top w:val="single" w:color="000000" w:sz="2" w:space="0"/>
            </w:tcBorders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252" w:type="dxa"/>
            <w:vAlign w:val="top"/>
            <w:tcBorders>
              <w:top w:val="single" w:color="000000" w:sz="2" w:space="0"/>
            </w:tcBorders>
          </w:tcPr>
          <w:p>
            <w:pPr>
              <w:ind w:left="566"/>
              <w:spacing w:before="39" w:line="177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</w:rPr>
              <w:t>0.643</w:t>
            </w:r>
          </w:p>
        </w:tc>
        <w:tc>
          <w:tcPr>
            <w:tcW w:w="1219" w:type="dxa"/>
            <w:vAlign w:val="top"/>
            <w:tcBorders>
              <w:top w:val="single" w:color="000000" w:sz="2" w:space="0"/>
            </w:tcBorders>
          </w:tcPr>
          <w:p>
            <w:pPr>
              <w:ind w:left="441"/>
              <w:spacing w:before="39" w:line="177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2"/>
              </w:rPr>
              <w:t>5.679</w:t>
            </w:r>
          </w:p>
        </w:tc>
        <w:tc>
          <w:tcPr>
            <w:tcW w:w="1508" w:type="dxa"/>
            <w:vAlign w:val="top"/>
            <w:tcBorders>
              <w:top w:val="single" w:color="000000" w:sz="2" w:space="0"/>
            </w:tcBorders>
          </w:tcPr>
          <w:p>
            <w:pPr>
              <w:ind w:left="573"/>
              <w:spacing w:before="39" w:line="177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2"/>
              </w:rPr>
              <w:t>8.167</w:t>
            </w:r>
          </w:p>
        </w:tc>
        <w:tc>
          <w:tcPr>
            <w:tcW w:w="1376" w:type="dxa"/>
            <w:vAlign w:val="top"/>
            <w:tcBorders>
              <w:top w:val="single" w:color="000000" w:sz="2" w:space="0"/>
            </w:tcBorders>
          </w:tcPr>
          <w:p>
            <w:pPr>
              <w:ind w:left="610"/>
              <w:spacing w:before="39" w:line="177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2"/>
              </w:rPr>
              <w:t>5.662</w:t>
            </w:r>
          </w:p>
        </w:tc>
        <w:tc>
          <w:tcPr>
            <w:tcW w:w="1191" w:type="dxa"/>
            <w:vAlign w:val="top"/>
            <w:tcBorders>
              <w:top w:val="single" w:color="000000" w:sz="2" w:space="0"/>
            </w:tcBorders>
          </w:tcPr>
          <w:p>
            <w:pPr>
              <w:ind w:left="461"/>
              <w:spacing w:before="39" w:line="177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</w:rPr>
              <w:t>0.532</w:t>
            </w:r>
          </w:p>
        </w:tc>
        <w:tc>
          <w:tcPr>
            <w:tcW w:w="1368" w:type="dxa"/>
            <w:vAlign w:val="top"/>
            <w:tcBorders>
              <w:top w:val="single" w:color="000000" w:sz="2" w:space="0"/>
            </w:tcBorders>
          </w:tcPr>
          <w:p>
            <w:pPr>
              <w:ind w:left="542"/>
              <w:spacing w:before="39" w:line="177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</w:rPr>
              <w:t>0.423</w:t>
            </w:r>
          </w:p>
        </w:tc>
      </w:tr>
      <w:tr>
        <w:trPr>
          <w:trHeight w:val="245" w:hRule="atLeast"/>
        </w:trPr>
        <w:tc>
          <w:tcPr>
            <w:tcW w:w="61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8"/>
              <w:spacing w:before="44" w:line="232" w:lineRule="auto"/>
              <w:rPr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  <w:spacing w:val="1"/>
              </w:rPr>
              <w:t>P</w:t>
            </w:r>
            <w:r>
              <w:rPr>
                <w:color w:val="231F20"/>
                <w:spacing w:val="1"/>
              </w:rPr>
              <w:t>值</w:t>
            </w:r>
          </w:p>
        </w:tc>
        <w:tc>
          <w:tcPr>
            <w:tcW w:w="1109" w:type="dxa"/>
            <w:vAlign w:val="top"/>
            <w:tcBorders>
              <w:bottom w:val="single" w:color="000000" w:sz="4" w:space="0"/>
            </w:tcBorders>
          </w:tcPr>
          <w:p>
            <w:pPr>
              <w:spacing w:line="235" w:lineRule="exact"/>
              <w:rPr>
                <w:rFonts w:ascii="Arial"/>
                <w:sz w:val="20"/>
              </w:rPr>
            </w:pPr>
            <w:r/>
          </w:p>
        </w:tc>
        <w:tc>
          <w:tcPr>
            <w:tcW w:w="125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20"/>
              <w:spacing w:before="39" w:line="241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16"/>
              </w:rPr>
              <w:t>&gt;</w:t>
            </w:r>
            <w:r>
              <w:rPr>
                <w:rFonts w:ascii="Times New Roman" w:hAnsi="Times New Roman" w:eastAsia="Times New Roman" w:cs="Times New Roman"/>
                <w:color w:val="231F20"/>
                <w:spacing w:val="16"/>
              </w:rPr>
              <w:t>0.05</w:t>
            </w:r>
          </w:p>
        </w:tc>
        <w:tc>
          <w:tcPr>
            <w:tcW w:w="1219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92"/>
              <w:spacing w:before="39" w:line="241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15"/>
                <w:w w:val="102"/>
              </w:rPr>
              <w:t>&lt;</w:t>
            </w:r>
            <w:r>
              <w:rPr>
                <w:rFonts w:ascii="Times New Roman" w:hAnsi="Times New Roman" w:eastAsia="Times New Roman" w:cs="Times New Roman"/>
                <w:color w:val="231F20"/>
                <w:spacing w:val="15"/>
                <w:w w:val="102"/>
              </w:rPr>
              <w:t>0.05</w:t>
            </w:r>
          </w:p>
        </w:tc>
        <w:tc>
          <w:tcPr>
            <w:tcW w:w="1508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21"/>
              <w:spacing w:before="39" w:line="241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15"/>
                <w:w w:val="102"/>
              </w:rPr>
              <w:t>&lt;</w:t>
            </w:r>
            <w:r>
              <w:rPr>
                <w:rFonts w:ascii="Times New Roman" w:hAnsi="Times New Roman" w:eastAsia="Times New Roman" w:cs="Times New Roman"/>
                <w:color w:val="231F20"/>
                <w:spacing w:val="15"/>
                <w:w w:val="102"/>
              </w:rPr>
              <w:t>0.05</w:t>
            </w:r>
          </w:p>
        </w:tc>
        <w:tc>
          <w:tcPr>
            <w:tcW w:w="137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60"/>
              <w:spacing w:before="39" w:line="241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15"/>
                <w:w w:val="102"/>
              </w:rPr>
              <w:t>&lt;</w:t>
            </w:r>
            <w:r>
              <w:rPr>
                <w:rFonts w:ascii="Times New Roman" w:hAnsi="Times New Roman" w:eastAsia="Times New Roman" w:cs="Times New Roman"/>
                <w:color w:val="231F20"/>
                <w:spacing w:val="15"/>
                <w:w w:val="102"/>
              </w:rPr>
              <w:t>0.05</w:t>
            </w:r>
          </w:p>
        </w:tc>
        <w:tc>
          <w:tcPr>
            <w:tcW w:w="119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16"/>
              <w:spacing w:before="39" w:line="241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16"/>
              </w:rPr>
              <w:t>&gt;</w:t>
            </w:r>
            <w:r>
              <w:rPr>
                <w:rFonts w:ascii="Times New Roman" w:hAnsi="Times New Roman" w:eastAsia="Times New Roman" w:cs="Times New Roman"/>
                <w:color w:val="231F20"/>
                <w:spacing w:val="16"/>
              </w:rPr>
              <w:t>0.05</w:t>
            </w:r>
          </w:p>
        </w:tc>
        <w:tc>
          <w:tcPr>
            <w:tcW w:w="1368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97"/>
              <w:spacing w:before="39" w:line="241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16"/>
              </w:rPr>
              <w:t>&gt;</w:t>
            </w:r>
            <w:r>
              <w:rPr>
                <w:rFonts w:ascii="Times New Roman" w:hAnsi="Times New Roman" w:eastAsia="Times New Roman" w:cs="Times New Roman"/>
                <w:color w:val="231F20"/>
                <w:spacing w:val="16"/>
              </w:rPr>
              <w:t>0.05</w:t>
            </w:r>
          </w:p>
        </w:tc>
      </w:tr>
    </w:tbl>
    <w:p>
      <w:pPr>
        <w:spacing w:line="163" w:lineRule="exact"/>
        <w:rPr>
          <w:rFonts w:ascii="Arial"/>
          <w:sz w:val="14"/>
        </w:rPr>
      </w:pPr>
      <w:r/>
    </w:p>
    <w:p>
      <w:pPr>
        <w:spacing w:line="163" w:lineRule="exact"/>
        <w:sectPr>
          <w:headerReference w:type="default" r:id="rId3"/>
          <w:footerReference w:type="default" r:id="rId4"/>
          <w:pgSz w:w="11906" w:h="16838"/>
          <w:pgMar w:top="1333" w:right="1133" w:bottom="826" w:left="407" w:header="1029" w:footer="530" w:gutter="0"/>
          <w:cols w:equalWidth="0" w:num="1">
            <w:col w:w="10364" w:space="0"/>
          </w:cols>
        </w:sectPr>
        <w:rPr>
          <w:rFonts w:ascii="Arial" w:hAnsi="Arial" w:eastAsia="Arial" w:cs="Arial"/>
          <w:sz w:val="14"/>
          <w:szCs w:val="14"/>
        </w:rPr>
      </w:pPr>
    </w:p>
    <w:p>
      <w:pPr>
        <w:pStyle w:val="BodyText"/>
        <w:ind w:left="2045"/>
        <w:spacing w:before="35" w:line="235" w:lineRule="auto"/>
        <w:outlineLvl w:val="0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表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3   </w:t>
      </w:r>
      <w:r>
        <w:rPr>
          <w:sz w:val="15"/>
          <w:szCs w:val="15"/>
          <w:color w:val="231F20"/>
          <w:spacing w:val="-1"/>
        </w:rPr>
        <w:t>两组死亡率比较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[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-1"/>
        </w:rPr>
        <w:t>n</w:t>
      </w:r>
      <w:r>
        <w:rPr>
          <w:sz w:val="15"/>
          <w:szCs w:val="15"/>
          <w:color w:val="231F20"/>
          <w:spacing w:val="-1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%</w:t>
      </w:r>
      <w:r>
        <w:rPr>
          <w:sz w:val="15"/>
          <w:szCs w:val="15"/>
          <w:color w:val="231F20"/>
          <w:spacing w:val="-1"/>
        </w:rPr>
        <w:t>）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]</w:t>
      </w:r>
    </w:p>
    <w:p>
      <w:pPr>
        <w:spacing w:line="76" w:lineRule="exact"/>
        <w:rPr/>
      </w:pPr>
      <w:r/>
    </w:p>
    <w:tbl>
      <w:tblPr>
        <w:tblStyle w:val="TableNormal"/>
        <w:tblW w:w="4592" w:type="dxa"/>
        <w:tblInd w:w="73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23"/>
        <w:gridCol w:w="1524"/>
        <w:gridCol w:w="1645"/>
      </w:tblGrid>
      <w:tr>
        <w:trPr>
          <w:trHeight w:val="242" w:hRule="atLeast"/>
        </w:trPr>
        <w:tc>
          <w:tcPr>
            <w:tcW w:w="1423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8"/>
              <w:spacing w:before="38" w:line="233" w:lineRule="auto"/>
              <w:rPr/>
            </w:pPr>
            <w:r>
              <w:rPr>
                <w:color w:val="231F20"/>
                <w:spacing w:val="5"/>
              </w:rPr>
              <w:t>组别</w:t>
            </w:r>
          </w:p>
        </w:tc>
        <w:tc>
          <w:tcPr>
            <w:tcW w:w="1524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647"/>
              <w:spacing w:before="38" w:line="232" w:lineRule="auto"/>
              <w:rPr/>
            </w:pPr>
            <w:r>
              <w:rPr>
                <w:color w:val="231F20"/>
                <w:spacing w:val="6"/>
              </w:rPr>
              <w:t>例数</w:t>
            </w:r>
          </w:p>
        </w:tc>
        <w:tc>
          <w:tcPr>
            <w:tcW w:w="1645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628"/>
              <w:spacing w:before="38" w:line="232" w:lineRule="auto"/>
              <w:rPr/>
            </w:pPr>
            <w:r>
              <w:rPr>
                <w:color w:val="231F20"/>
                <w:spacing w:val="7"/>
              </w:rPr>
              <w:t>死亡率</w:t>
            </w:r>
          </w:p>
        </w:tc>
      </w:tr>
      <w:tr>
        <w:trPr>
          <w:trHeight w:val="241" w:hRule="atLeast"/>
        </w:trPr>
        <w:tc>
          <w:tcPr>
            <w:tcW w:w="142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"/>
              <w:spacing w:before="40" w:line="231" w:lineRule="auto"/>
              <w:rPr/>
            </w:pPr>
            <w:r>
              <w:rPr>
                <w:color w:val="231F20"/>
                <w:spacing w:val="7"/>
              </w:rPr>
              <w:t>研究组</w:t>
            </w:r>
          </w:p>
        </w:tc>
        <w:tc>
          <w:tcPr>
            <w:tcW w:w="1524" w:type="dxa"/>
            <w:vAlign w:val="top"/>
            <w:tcBorders>
              <w:top w:val="single" w:color="000000" w:sz="2" w:space="0"/>
            </w:tcBorders>
          </w:tcPr>
          <w:p>
            <w:pPr>
              <w:ind w:left="728"/>
              <w:spacing w:before="35" w:line="177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1"/>
              </w:rPr>
              <w:t>60</w:t>
            </w:r>
          </w:p>
        </w:tc>
        <w:tc>
          <w:tcPr>
            <w:tcW w:w="164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70"/>
              <w:spacing w:before="35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7</w:t>
            </w:r>
            <w:r>
              <w:rPr>
                <w:color w:val="231F20"/>
                <w:spacing w:val="-7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11.67</w:t>
            </w:r>
            <w:r>
              <w:rPr>
                <w:color w:val="231F20"/>
                <w:spacing w:val="-7"/>
              </w:rPr>
              <w:t>）</w:t>
            </w:r>
          </w:p>
        </w:tc>
      </w:tr>
      <w:tr>
        <w:trPr>
          <w:trHeight w:val="249" w:hRule="atLeast"/>
        </w:trPr>
        <w:tc>
          <w:tcPr>
            <w:tcW w:w="142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" w:right="943" w:hanging="4"/>
              <w:spacing w:before="48" w:line="274" w:lineRule="auto"/>
              <w:rPr/>
            </w:pPr>
            <w:r>
              <w:rPr>
                <w:color w:val="231F20"/>
                <w:spacing w:val="7"/>
              </w:rPr>
              <w:t>参考组</w:t>
            </w:r>
            <w:r>
              <w:rPr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i/>
                <w:iCs/>
                <w:color w:val="231F20"/>
                <w:position w:val="-1"/>
              </w:rPr>
              <w:t>c</w:t>
            </w:r>
            <w:r>
              <w:rPr>
                <w:rFonts w:ascii="Times New Roman" w:hAnsi="Times New Roman" w:eastAsia="Times New Roman" w:cs="Times New Roman"/>
                <w:sz w:val="8"/>
                <w:szCs w:val="8"/>
                <w:color w:val="231F20"/>
                <w:position w:val="5"/>
              </w:rPr>
              <w:t>2</w:t>
            </w:r>
            <w:r>
              <w:rPr>
                <w:rFonts w:ascii="Times New Roman" w:hAnsi="Times New Roman" w:eastAsia="Times New Roman" w:cs="Times New Roman"/>
                <w:sz w:val="8"/>
                <w:szCs w:val="8"/>
                <w:color w:val="231F20"/>
                <w:spacing w:val="-3"/>
                <w:position w:val="5"/>
              </w:rPr>
              <w:t xml:space="preserve"> </w:t>
            </w:r>
            <w:r>
              <w:rPr>
                <w:color w:val="231F20"/>
                <w:position w:val="-1"/>
              </w:rPr>
              <w:t>值</w:t>
            </w:r>
          </w:p>
        </w:tc>
        <w:tc>
          <w:tcPr>
            <w:tcW w:w="1524" w:type="dxa"/>
            <w:vAlign w:val="top"/>
            <w:tcBorders>
              <w:bottom w:val="single" w:color="000000" w:sz="2" w:space="0"/>
            </w:tcBorders>
          </w:tcPr>
          <w:p>
            <w:pPr>
              <w:ind w:left="728"/>
              <w:spacing w:before="44" w:line="177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1"/>
              </w:rPr>
              <w:t>60</w:t>
            </w:r>
          </w:p>
        </w:tc>
        <w:tc>
          <w:tcPr>
            <w:tcW w:w="164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645"/>
              <w:spacing w:before="44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3</w:t>
            </w:r>
            <w:r>
              <w:rPr>
                <w:color w:val="231F20"/>
                <w:spacing w:val="-8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5.00</w:t>
            </w:r>
            <w:r>
              <w:rPr>
                <w:color w:val="231F20"/>
                <w:spacing w:val="-8"/>
              </w:rPr>
              <w:t>）</w:t>
            </w:r>
          </w:p>
        </w:tc>
      </w:tr>
      <w:tr>
        <w:trPr>
          <w:trHeight w:val="250" w:hRule="atLeast"/>
        </w:trPr>
        <w:tc>
          <w:tcPr>
            <w:tcW w:w="142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24" w:type="dxa"/>
            <w:vAlign w:val="top"/>
            <w:tcBorders>
              <w:top w:val="single" w:color="000000" w:sz="2" w:space="0"/>
            </w:tcBorders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645" w:type="dxa"/>
            <w:vAlign w:val="top"/>
            <w:tcBorders>
              <w:top w:val="single" w:color="000000" w:sz="2" w:space="0"/>
            </w:tcBorders>
          </w:tcPr>
          <w:p>
            <w:pPr>
              <w:ind w:left="737"/>
              <w:spacing w:before="39" w:line="177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1.745</w:t>
            </w:r>
          </w:p>
        </w:tc>
      </w:tr>
      <w:tr>
        <w:trPr>
          <w:trHeight w:val="245" w:hRule="atLeast"/>
        </w:trPr>
        <w:tc>
          <w:tcPr>
            <w:tcW w:w="142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8"/>
              <w:spacing w:before="44" w:line="232" w:lineRule="auto"/>
              <w:rPr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  <w:spacing w:val="1"/>
              </w:rPr>
              <w:t>P</w:t>
            </w:r>
            <w:r>
              <w:rPr>
                <w:color w:val="231F20"/>
                <w:spacing w:val="1"/>
              </w:rPr>
              <w:t>值</w:t>
            </w:r>
          </w:p>
        </w:tc>
        <w:tc>
          <w:tcPr>
            <w:tcW w:w="1524" w:type="dxa"/>
            <w:vAlign w:val="top"/>
            <w:tcBorders>
              <w:bottom w:val="single" w:color="000000" w:sz="4" w:space="0"/>
            </w:tcBorders>
          </w:tcPr>
          <w:p>
            <w:pPr>
              <w:spacing w:line="235" w:lineRule="exact"/>
              <w:rPr>
                <w:rFonts w:ascii="Arial"/>
                <w:sz w:val="20"/>
              </w:rPr>
            </w:pPr>
            <w:r/>
          </w:p>
        </w:tc>
        <w:tc>
          <w:tcPr>
            <w:tcW w:w="1645" w:type="dxa"/>
            <w:vAlign w:val="top"/>
            <w:tcBorders>
              <w:bottom w:val="single" w:color="000000" w:sz="4" w:space="0"/>
            </w:tcBorders>
          </w:tcPr>
          <w:p>
            <w:pPr>
              <w:ind w:left="724"/>
              <w:spacing w:before="39" w:line="177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</w:rPr>
              <w:t>0.186</w:t>
            </w:r>
          </w:p>
        </w:tc>
      </w:tr>
    </w:tbl>
    <w:p>
      <w:pPr>
        <w:ind w:left="733"/>
        <w:spacing w:before="197" w:line="234" w:lineRule="exact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  <w:position w:val="1"/>
        </w:rPr>
        <w:t>3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4"/>
          <w:position w:val="1"/>
        </w:rPr>
        <w:t>讨论</w:t>
      </w:r>
    </w:p>
    <w:p>
      <w:pPr>
        <w:pStyle w:val="BodyText"/>
        <w:ind w:left="732" w:right="272" w:firstLine="360"/>
        <w:spacing w:before="156" w:line="310" w:lineRule="auto"/>
        <w:jc w:val="both"/>
        <w:rPr/>
      </w:pPr>
      <w:r>
        <w:rPr>
          <w:color w:val="231F20"/>
          <w:spacing w:val="6"/>
        </w:rPr>
        <w:t>据相关调查研究表明，老年人多发心血管疾病与糖尿病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7"/>
        </w:rPr>
        <w:t>等，且其中部分患者存在糖尿病合并心血管疾病，严重降低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患者的生活质量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11"/>
          <w:position w:val="6"/>
        </w:rPr>
        <w:t>[4-5] </w:t>
      </w:r>
      <w:r>
        <w:rPr>
          <w:color w:val="231F20"/>
          <w:spacing w:val="11"/>
        </w:rPr>
        <w:t>。尤其是老年</w:t>
      </w:r>
      <w:r>
        <w:rPr>
          <w:color w:val="231F20"/>
          <w:spacing w:val="10"/>
        </w:rPr>
        <w:t>糖尿病合并急性心肌梗死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患者，近年来的死亡率不断增高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6"/>
          <w:position w:val="6"/>
        </w:rPr>
        <w:t>[6] </w:t>
      </w:r>
      <w:r>
        <w:rPr>
          <w:color w:val="231F20"/>
          <w:spacing w:val="6"/>
        </w:rPr>
        <w:t>。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6"/>
        </w:rPr>
        <w:t>因此，分析老年糖尿病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合并急性心肌梗死的临床特点以及治疗具有重要的意义。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7"/>
        </w:rPr>
        <w:t>老年患者由于身体各项机体功能退化，如出现糖尿病和心肌</w:t>
      </w:r>
      <w:r>
        <w:rPr>
          <w:color w:val="231F20"/>
        </w:rPr>
        <w:t xml:space="preserve"> </w:t>
      </w:r>
      <w:r>
        <w:rPr>
          <w:color w:val="231F20"/>
        </w:rPr>
        <w:t>梗死的情况，易发生各种并发症和生理问题，如疼痛、恶心呕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5"/>
        </w:rPr>
        <w:t>吐、呼吸困难等现象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5"/>
          <w:position w:val="6"/>
        </w:rPr>
        <w:t>[7-8] </w:t>
      </w:r>
      <w:r>
        <w:rPr>
          <w:color w:val="231F20"/>
          <w:spacing w:val="5"/>
        </w:rPr>
        <w:t>。据相关研究表明，患</w:t>
      </w:r>
      <w:r>
        <w:rPr>
          <w:color w:val="231F20"/>
          <w:spacing w:val="4"/>
        </w:rPr>
        <w:t>者初期的各项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临床症状可为诊断提供依据，因此，掌握患者的初期临床症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状能及时的发现并进行对症治疗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9"/>
          <w:position w:val="6"/>
        </w:rPr>
        <w:t>[9-10] </w:t>
      </w:r>
      <w:r>
        <w:rPr>
          <w:color w:val="231F20"/>
          <w:spacing w:val="9"/>
        </w:rPr>
        <w:t>。临床中治</w:t>
      </w:r>
      <w:r>
        <w:rPr>
          <w:color w:val="231F20"/>
          <w:spacing w:val="8"/>
        </w:rPr>
        <w:t>疗老年糖尿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病合并心肌梗死首先应有效处理左心衰的症状，另外，由于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患者的血糖水平较高，因此，在治疗心肌梗死时应密切关注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血糖水平，可通过早期注射胰岛素降低血糖水平。</w:t>
      </w:r>
    </w:p>
    <w:p>
      <w:pPr>
        <w:pStyle w:val="BodyText"/>
        <w:ind w:left="731" w:right="270" w:firstLine="362"/>
        <w:spacing w:before="1" w:line="309" w:lineRule="auto"/>
        <w:jc w:val="both"/>
        <w:rPr/>
      </w:pPr>
      <w:r>
        <w:rPr>
          <w:color w:val="231F20"/>
          <w:spacing w:val="6"/>
        </w:rPr>
        <w:t>本研究结果显示，两组呼吸困难、放射痛以及心悸发生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7"/>
        </w:rPr>
        <w:t>率比较差异无统计学意义；两组胸痛、腹痛以及恶心呕吐发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生率比较差异有统计学意义（</w:t>
      </w:r>
      <w:r>
        <w:rPr>
          <w:rFonts w:ascii="Times New Roman" w:hAnsi="Times New Roman" w:eastAsia="Times New Roman" w:cs="Times New Roman"/>
          <w:i/>
          <w:iCs/>
          <w:color w:val="231F20"/>
          <w:spacing w:val="2"/>
        </w:rPr>
        <w:t>P</w:t>
      </w:r>
      <w:r>
        <w:rPr>
          <w:color w:val="231F20"/>
          <w:spacing w:val="2"/>
        </w:rPr>
        <w:t>＜</w:t>
      </w:r>
      <w:r>
        <w:rPr>
          <w:rFonts w:ascii="Times New Roman" w:hAnsi="Times New Roman" w:eastAsia="Times New Roman" w:cs="Times New Roman"/>
          <w:color w:val="231F20"/>
          <w:spacing w:val="2"/>
        </w:rPr>
        <w:t>0.05</w:t>
      </w:r>
      <w:r>
        <w:rPr>
          <w:color w:val="231F20"/>
          <w:spacing w:val="2"/>
        </w:rPr>
        <w:t>）。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两组休克、室壁瘤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以及心律失常发生率比较差异无统计学意义；研究组感染、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7"/>
        </w:rPr>
        <w:t>急性肾损伤以及心力衰竭发生率高于参考组，差异有统计学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意义（</w:t>
      </w:r>
      <w:r>
        <w:rPr>
          <w:rFonts w:ascii="Times New Roman" w:hAnsi="Times New Roman" w:eastAsia="Times New Roman" w:cs="Times New Roman"/>
          <w:i/>
          <w:iCs/>
          <w:color w:val="231F20"/>
          <w:spacing w:val="3"/>
        </w:rPr>
        <w:t>P</w:t>
      </w:r>
      <w:r>
        <w:rPr>
          <w:color w:val="231F20"/>
          <w:spacing w:val="3"/>
        </w:rPr>
        <w:t>＜</w:t>
      </w:r>
      <w:r>
        <w:rPr>
          <w:rFonts w:ascii="Times New Roman" w:hAnsi="Times New Roman" w:eastAsia="Times New Roman" w:cs="Times New Roman"/>
          <w:color w:val="231F20"/>
          <w:spacing w:val="3"/>
        </w:rPr>
        <w:t>0.05</w:t>
      </w:r>
      <w:r>
        <w:rPr>
          <w:color w:val="231F20"/>
          <w:spacing w:val="3"/>
        </w:rPr>
        <w:t>）。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3"/>
        </w:rPr>
        <w:t>两组死亡率比较差异无统</w:t>
      </w:r>
      <w:r>
        <w:rPr>
          <w:color w:val="231F20"/>
          <w:spacing w:val="2"/>
        </w:rPr>
        <w:t>计学意义。表明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老年糖尿病合并急性心肌梗死患者更易在治疗中并发症发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生率较高，且死亡率较高，因此，针对老年糖尿病合并急性心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7"/>
        </w:rPr>
        <w:t>肌梗死应早发现、早治疗，针对患者早期的各项临床症状进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行分析，制定合理的治疗方案以降低患者的死亡率。</w:t>
      </w:r>
    </w:p>
    <w:p>
      <w:pPr>
        <w:ind w:left="732"/>
        <w:spacing w:before="282" w:line="232" w:lineRule="exact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  <w:position w:val="1"/>
        </w:rPr>
        <w:t>参考文献</w:t>
      </w:r>
    </w:p>
    <w:p>
      <w:pPr>
        <w:pStyle w:val="BodyText"/>
        <w:ind w:left="1085" w:right="333" w:hanging="347"/>
        <w:spacing w:before="54" w:line="295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>[1]    </w:t>
      </w:r>
      <w:r>
        <w:rPr>
          <w:sz w:val="15"/>
          <w:szCs w:val="15"/>
          <w:color w:val="231F20"/>
          <w:spacing w:val="8"/>
        </w:rPr>
        <w:t>李红月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8"/>
        </w:rPr>
        <w:t>张小丽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8"/>
        </w:rPr>
        <w:t>张盼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8"/>
        </w:rPr>
        <w:t>等</w:t>
      </w:r>
      <w:r>
        <w:rPr>
          <w:sz w:val="15"/>
          <w:szCs w:val="15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8"/>
        </w:rPr>
        <w:t>急性心肌梗死合并糖尿病患者营养风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险、应对方式与生活质量的关系及路径分析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[J].</w:t>
      </w:r>
      <w:r>
        <w:rPr>
          <w:sz w:val="15"/>
          <w:szCs w:val="15"/>
          <w:color w:val="231F20"/>
          <w:spacing w:val="10"/>
        </w:rPr>
        <w:t>中国老年学杂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4"/>
        </w:rPr>
        <w:t>志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,2018,38(13):183-186.</w:t>
      </w:r>
    </w:p>
    <w:p>
      <w:pPr>
        <w:ind w:left="1081" w:right="333" w:hanging="343"/>
        <w:spacing w:before="77" w:line="32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[2]    Borghi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C,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Omboni  S,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eggiardo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G,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al.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Efficacy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of zofenopril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compared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placebo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other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angiotensin-converting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enzyme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inhibitors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patients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acute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myocardi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infarction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previ-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42" w:firstLine="2"/>
        <w:spacing w:before="34" w:line="355" w:lineRule="auto"/>
        <w:jc w:val="both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ous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cardiovascular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risk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facto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rs: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pooled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individual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data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analysis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of 4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randomized,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double-blind,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controlled,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prospective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stud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ies[J].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Cardiovase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Pharmacol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>, 2017,69(1):48-54.</w:t>
      </w:r>
    </w:p>
    <w:p>
      <w:pPr>
        <w:pStyle w:val="BodyText"/>
        <w:ind w:left="342" w:hanging="343"/>
        <w:spacing w:before="30" w:line="27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>[3]    </w:t>
      </w:r>
      <w:r>
        <w:rPr>
          <w:sz w:val="15"/>
          <w:szCs w:val="15"/>
          <w:color w:val="231F20"/>
          <w:spacing w:val="9"/>
        </w:rPr>
        <w:t>王绍谦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9"/>
        </w:rPr>
        <w:t>胡洋</w:t>
      </w:r>
      <w:r>
        <w:rPr>
          <w:sz w:val="15"/>
          <w:szCs w:val="15"/>
          <w:color w:val="231F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9"/>
        </w:rPr>
        <w:t>老年糖尿病合并急性心肌梗死的临床特点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>[J].</w:t>
      </w:r>
      <w:r>
        <w:rPr>
          <w:sz w:val="15"/>
          <w:szCs w:val="15"/>
          <w:color w:val="231F20"/>
          <w:spacing w:val="9"/>
        </w:rPr>
        <w:t>临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床研究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,2018,26(5):107-108.</w:t>
      </w:r>
    </w:p>
    <w:p>
      <w:pPr>
        <w:pStyle w:val="BodyText"/>
        <w:ind w:left="342" w:hanging="342"/>
        <w:spacing w:before="76" w:line="30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>[4]    </w:t>
      </w:r>
      <w:r>
        <w:rPr>
          <w:sz w:val="15"/>
          <w:szCs w:val="15"/>
          <w:color w:val="231F20"/>
          <w:spacing w:val="8"/>
        </w:rPr>
        <w:t>符聪</w:t>
      </w:r>
      <w:r>
        <w:rPr>
          <w:sz w:val="15"/>
          <w:szCs w:val="15"/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8"/>
        </w:rPr>
        <w:t>老年糖尿病合并急性心肌梗死病人糖化血红蛋白与</w:t>
      </w:r>
      <w:r>
        <w:rPr>
          <w:sz w:val="15"/>
          <w:szCs w:val="15"/>
          <w:color w:val="231F20"/>
          <w:spacing w:val="7"/>
        </w:rPr>
        <w:t>肌酸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8"/>
        </w:rPr>
        <w:t>激酶及其同工酶的相关性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</w:rPr>
        <w:t>[J].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18"/>
        </w:rPr>
        <w:t>中西医结合心脑血管病杂志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2017,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15(15):1880-1882.</w:t>
      </w:r>
    </w:p>
    <w:p>
      <w:pPr>
        <w:ind w:left="344" w:hanging="344"/>
        <w:spacing w:before="86" w:line="34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[5]    Cho Kl,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Shin ES, Ann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SH, 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al.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Gender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differences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in risk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factors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and clinical outcomes 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young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patients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acute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myocardial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in-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farction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>[J].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Epidemiol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Community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Health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>2016, 70(11): 105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>7-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1064.</w:t>
      </w:r>
    </w:p>
    <w:p>
      <w:pPr>
        <w:pStyle w:val="BodyText"/>
        <w:ind w:left="345" w:hanging="345"/>
        <w:spacing w:before="58" w:line="27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[6]    </w:t>
      </w:r>
      <w:r>
        <w:rPr>
          <w:sz w:val="15"/>
          <w:szCs w:val="15"/>
          <w:color w:val="231F20"/>
          <w:spacing w:val="10"/>
        </w:rPr>
        <w:t>张新</w:t>
      </w:r>
      <w:r>
        <w:rPr>
          <w:sz w:val="15"/>
          <w:szCs w:val="15"/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10"/>
        </w:rPr>
        <w:t>老年糖尿病合并急性心肌梗死的临床分析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[J].</w:t>
      </w:r>
      <w:r>
        <w:rPr>
          <w:sz w:val="15"/>
          <w:szCs w:val="15"/>
          <w:color w:val="231F20"/>
          <w:spacing w:val="10"/>
        </w:rPr>
        <w:t>糖尿病新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世界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,2016,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19(22):88-89.</w:t>
      </w:r>
    </w:p>
    <w:p>
      <w:pPr>
        <w:pStyle w:val="BodyText"/>
        <w:ind w:left="345" w:hanging="345"/>
        <w:spacing w:before="76" w:line="295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>[7]    </w:t>
      </w:r>
      <w:r>
        <w:rPr>
          <w:sz w:val="15"/>
          <w:szCs w:val="15"/>
          <w:color w:val="231F20"/>
          <w:spacing w:val="8"/>
        </w:rPr>
        <w:t>杨红燕</w:t>
      </w:r>
      <w:r>
        <w:rPr>
          <w:sz w:val="15"/>
          <w:szCs w:val="15"/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8"/>
        </w:rPr>
        <w:t>老年糖尿病合并急性心肌梗死患者糖化血红蛋白</w:t>
      </w:r>
      <w:r>
        <w:rPr>
          <w:sz w:val="15"/>
          <w:szCs w:val="15"/>
          <w:color w:val="231F20"/>
          <w:spacing w:val="7"/>
        </w:rPr>
        <w:t>与肌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酸激酶及其同工酶的相关性研究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[J].</w:t>
      </w:r>
      <w:r>
        <w:rPr>
          <w:sz w:val="15"/>
          <w:szCs w:val="15"/>
          <w:color w:val="231F20"/>
          <w:spacing w:val="10"/>
        </w:rPr>
        <w:t>中西医结合心血管病电子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4"/>
        </w:rPr>
        <w:t>杂志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,2016,4(1):19,21.</w:t>
      </w:r>
    </w:p>
    <w:p>
      <w:pPr>
        <w:pStyle w:val="BodyText"/>
        <w:spacing w:before="76" w:line="235" w:lineRule="auto"/>
        <w:jc w:val="righ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>[8]    </w:t>
      </w:r>
      <w:r>
        <w:rPr>
          <w:sz w:val="15"/>
          <w:szCs w:val="15"/>
          <w:color w:val="231F20"/>
          <w:spacing w:val="6"/>
        </w:rPr>
        <w:t>黄朝霞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6"/>
        </w:rPr>
        <w:t>刘毅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6"/>
        </w:rPr>
        <w:t>老年糖尿病合并急性心肌梗死的临床特点</w:t>
      </w:r>
      <w:r>
        <w:rPr>
          <w:sz w:val="15"/>
          <w:szCs w:val="15"/>
          <w:color w:val="231F20"/>
          <w:spacing w:val="5"/>
        </w:rPr>
        <w:t>分析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[J].</w:t>
      </w:r>
    </w:p>
    <w:p>
      <w:pPr>
        <w:pStyle w:val="BodyText"/>
        <w:ind w:left="360"/>
        <w:spacing w:before="75" w:line="23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中国继续医学教育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,2016,8(17):98-100.</w:t>
      </w:r>
    </w:p>
    <w:p>
      <w:pPr>
        <w:pStyle w:val="BodyText"/>
        <w:ind w:left="360" w:hanging="360"/>
        <w:spacing w:before="76" w:line="27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[9]    </w:t>
      </w:r>
      <w:r>
        <w:rPr>
          <w:sz w:val="15"/>
          <w:szCs w:val="15"/>
          <w:color w:val="231F20"/>
          <w:spacing w:val="10"/>
        </w:rPr>
        <w:t>何向阳</w:t>
      </w:r>
      <w:r>
        <w:rPr>
          <w:sz w:val="15"/>
          <w:szCs w:val="15"/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10"/>
        </w:rPr>
        <w:t>老年糖尿病合并急性心肌梗死的临床特点分析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[J].</w:t>
      </w:r>
      <w:r>
        <w:rPr>
          <w:sz w:val="15"/>
          <w:szCs w:val="15"/>
          <w:color w:val="231F20"/>
          <w:spacing w:val="10"/>
        </w:rPr>
        <w:t>中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国医药指南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,2016,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14(14):123.</w:t>
      </w:r>
    </w:p>
    <w:p>
      <w:pPr>
        <w:pStyle w:val="BodyText"/>
        <w:ind w:left="345" w:hanging="345"/>
        <w:spacing w:before="76" w:line="30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>[10]  </w:t>
      </w:r>
      <w:r>
        <w:rPr>
          <w:sz w:val="15"/>
          <w:szCs w:val="15"/>
          <w:color w:val="231F20"/>
          <w:spacing w:val="9"/>
        </w:rPr>
        <w:t>刘洋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9"/>
        </w:rPr>
        <w:t>刘恒亮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9"/>
        </w:rPr>
        <w:t>镐振选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9"/>
        </w:rPr>
        <w:t>等</w:t>
      </w:r>
      <w:r>
        <w:rPr>
          <w:sz w:val="15"/>
          <w:szCs w:val="15"/>
          <w:color w:val="231F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9"/>
        </w:rPr>
        <w:t>急诊介</w:t>
      </w:r>
      <w:r>
        <w:rPr>
          <w:sz w:val="15"/>
          <w:szCs w:val="15"/>
          <w:color w:val="231F20"/>
          <w:spacing w:val="8"/>
        </w:rPr>
        <w:t>入治疗对老年女性急性心肌梗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死合并糖尿病的疗效探讨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>[J].</w:t>
      </w:r>
      <w:r>
        <w:rPr>
          <w:sz w:val="15"/>
          <w:szCs w:val="15"/>
          <w:color w:val="231F20"/>
          <w:spacing w:val="12"/>
        </w:rPr>
        <w:t>中华老年心脑血管病杂志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>,2015,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17(11):1155-1159.</w:t>
      </w:r>
    </w:p>
    <w:sectPr>
      <w:type w:val="continuous"/>
      <w:pgSz w:w="11906" w:h="16838"/>
      <w:pgMar w:top="1333" w:right="1133" w:bottom="826" w:left="407" w:header="1029" w:footer="530" w:gutter="0"/>
      <w:cols w:equalWidth="0" w:num="2">
        <w:col w:w="5668" w:space="100"/>
        <w:col w:w="459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55"/>
      <w:spacing w:line="199" w:lineRule="auto"/>
      <w:rPr>
        <w:rFonts w:ascii="Microsoft YaHei" w:hAnsi="Microsoft YaHei" w:eastAsia="Microsoft YaHei" w:cs="Microsoft YaHei"/>
        <w:sz w:val="20"/>
        <w:szCs w:val="20"/>
      </w:rPr>
    </w:pPr>
    <w:r>
      <w:rPr>
        <w:rFonts w:ascii="Microsoft YaHei" w:hAnsi="Microsoft YaHei" w:eastAsia="Microsoft YaHei" w:cs="Microsoft YaHei"/>
        <w:sz w:val="20"/>
        <w:szCs w:val="20"/>
        <w:color w:val="231F20"/>
        <w:spacing w:val="-3"/>
      </w:rPr>
      <w:t>—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3"/>
      </w:rPr>
      <w:t xml:space="preserve">    </w:t>
    </w:r>
    <w:r>
      <w:rPr>
        <w:rFonts w:ascii="NSimSun" w:hAnsi="NSimSun" w:eastAsia="NSimSun" w:cs="NSimSun"/>
        <w:sz w:val="20"/>
        <w:szCs w:val="20"/>
        <w:color w:val="231F20"/>
        <w:spacing w:val="-3"/>
      </w:rPr>
      <w:t>146</w:t>
    </w:r>
    <w:r>
      <w:rPr>
        <w:rFonts w:ascii="NSimSun" w:hAnsi="NSimSun" w:eastAsia="NSimSun" w:cs="NSimSun"/>
        <w:sz w:val="20"/>
        <w:szCs w:val="20"/>
        <w:color w:val="231F20"/>
        <w:spacing w:val="13"/>
      </w:rPr>
      <w:t xml:space="preserve">  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-3"/>
      </w:rPr>
      <w:t>—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45"/>
      <w:spacing w:line="199" w:lineRule="auto"/>
      <w:rPr>
        <w:rFonts w:ascii="Microsoft YaHei" w:hAnsi="Microsoft YaHei" w:eastAsia="Microsoft YaHei" w:cs="Microsoft YaHei"/>
        <w:sz w:val="20"/>
        <w:szCs w:val="20"/>
      </w:rPr>
    </w:pPr>
    <w:r>
      <w:rPr>
        <w:rFonts w:ascii="Microsoft YaHei" w:hAnsi="Microsoft YaHei" w:eastAsia="Microsoft YaHei" w:cs="Microsoft YaHei"/>
        <w:sz w:val="20"/>
        <w:szCs w:val="20"/>
        <w:color w:val="231F20"/>
        <w:spacing w:val="-3"/>
      </w:rPr>
      <w:t>—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3"/>
      </w:rPr>
      <w:t xml:space="preserve">    </w:t>
    </w:r>
    <w:r>
      <w:rPr>
        <w:rFonts w:ascii="NSimSun" w:hAnsi="NSimSun" w:eastAsia="NSimSun" w:cs="NSimSun"/>
        <w:sz w:val="20"/>
        <w:szCs w:val="20"/>
        <w:color w:val="231F20"/>
        <w:spacing w:val="-3"/>
      </w:rPr>
      <w:t>147</w:t>
    </w:r>
    <w:r>
      <w:rPr>
        <w:rFonts w:ascii="NSimSun" w:hAnsi="NSimSun" w:eastAsia="NSimSun" w:cs="NSimSun"/>
        <w:sz w:val="20"/>
        <w:szCs w:val="20"/>
        <w:color w:val="231F20"/>
        <w:spacing w:val="13"/>
      </w:rPr>
      <w:t xml:space="preserve">  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-3"/>
      </w:rPr>
      <w:t>—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40"/>
      <w:spacing w:before="33" w:line="211" w:lineRule="auto"/>
      <w:rPr>
        <w:rFonts w:ascii="NSimSun" w:hAnsi="NSimSun" w:eastAsia="NSimSun" w:cs="NSimSun"/>
        <w:sz w:val="15"/>
        <w:szCs w:val="15"/>
      </w:rPr>
    </w:pPr>
    <w:r>
      <w:pict>
        <v:shape id="WordPictureWatermark2" style="position:absolute;margin-left:20.4pt;margin-top:814.489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>
      <w:pict>
        <v:shape id="_x0000_s4" style="position:absolute;margin-left:56.6929pt;margin-top:65.012pt;mso-position-vertical-relative:page;mso-position-horizontal-relative:page;width:481.9pt;height:0.4pt;z-index:251659264;" o:allowincell="f" filled="false" strokecolor="#231F20" strokeweight="0.37pt" coordsize="9637,8" coordorigin="0,0" path="m0,3l9637,3e">
          <v:stroke joinstyle="miter" miterlimit="4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</w:rPr>
      <w:t>当代医学    </w:t>
    </w:r>
    <w:r>
      <w:rPr>
        <w:rFonts w:ascii="NSimSun" w:hAnsi="NSimSun" w:eastAsia="NSimSun" w:cs="NSimSun"/>
        <w:sz w:val="15"/>
        <w:szCs w:val="15"/>
        <w:color w:val="231F20"/>
      </w:rPr>
      <w:t>2021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6"/>
      </w:rPr>
      <w:t xml:space="preserve"> </w:t>
    </w:r>
    <w:r>
      <w:rPr>
        <w:rFonts w:ascii="NSimSun" w:hAnsi="NSimSun" w:eastAsia="NSimSun" w:cs="NSimSun"/>
        <w:sz w:val="15"/>
        <w:szCs w:val="15"/>
        <w:color w:val="231F20"/>
      </w:rPr>
      <w:t>9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月第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0"/>
      </w:rPr>
      <w:t xml:space="preserve"> </w:t>
    </w:r>
    <w:r>
      <w:rPr>
        <w:rFonts w:ascii="NSimSun" w:hAnsi="NSimSun" w:eastAsia="NSimSun" w:cs="NSimSun"/>
        <w:sz w:val="15"/>
        <w:szCs w:val="15"/>
        <w:color w:val="231F20"/>
      </w:rPr>
      <w:t>27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卷第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9"/>
      </w:rPr>
      <w:t xml:space="preserve"> </w:t>
    </w:r>
    <w:r>
      <w:rPr>
        <w:rFonts w:ascii="NSimSun" w:hAnsi="NSimSun" w:eastAsia="NSimSun" w:cs="NSimSun"/>
        <w:sz w:val="15"/>
        <w:szCs w:val="15"/>
        <w:color w:val="231F20"/>
      </w:rPr>
      <w:t>26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期总第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9"/>
      </w:rPr>
      <w:t xml:space="preserve"> </w:t>
    </w:r>
    <w:r>
      <w:rPr>
        <w:rFonts w:ascii="NSimSun" w:hAnsi="NSimSun" w:eastAsia="NSimSun" w:cs="NSimSun"/>
        <w:sz w:val="15"/>
        <w:szCs w:val="15"/>
        <w:color w:val="231F20"/>
      </w:rPr>
      <w:t>613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期   </w:t>
    </w:r>
    <w:r>
      <w:rPr>
        <w:rFonts w:ascii="NSimSun" w:hAnsi="NSimSun" w:eastAsia="NSimSun" w:cs="NSimSun"/>
        <w:sz w:val="15"/>
        <w:szCs w:val="15"/>
        <w:color w:val="231F20"/>
      </w:rPr>
      <w:t>Contemporary</w:t>
    </w:r>
    <w:r>
      <w:rPr>
        <w:rFonts w:ascii="NSimSun" w:hAnsi="NSimSun" w:eastAsia="NSimSun" w:cs="NSimSun"/>
        <w:sz w:val="15"/>
        <w:szCs w:val="15"/>
        <w:color w:val="231F20"/>
      </w:rPr>
      <w:t xml:space="preserve"> </w:t>
    </w:r>
    <w:r>
      <w:rPr>
        <w:rFonts w:ascii="NSimSun" w:hAnsi="NSimSun" w:eastAsia="NSimSun" w:cs="NSimSun"/>
        <w:sz w:val="15"/>
        <w:szCs w:val="15"/>
        <w:color w:val="231F20"/>
      </w:rPr>
      <w:t>Medicine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，</w:t>
    </w:r>
    <w:r>
      <w:rPr>
        <w:rFonts w:ascii="NSimSun" w:hAnsi="NSimSun" w:eastAsia="NSimSun" w:cs="NSimSun"/>
        <w:sz w:val="15"/>
        <w:szCs w:val="15"/>
        <w:color w:val="231F20"/>
      </w:rPr>
      <w:t>Sep.2021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，</w:t>
    </w:r>
    <w:r>
      <w:rPr>
        <w:rFonts w:ascii="NSimSun" w:hAnsi="NSimSun" w:eastAsia="NSimSun" w:cs="NSimSun"/>
        <w:sz w:val="15"/>
        <w:szCs w:val="15"/>
        <w:color w:val="231F20"/>
      </w:rPr>
      <w:t>Vol.27</w:t>
    </w:r>
    <w:r>
      <w:rPr>
        <w:rFonts w:ascii="NSimSun" w:hAnsi="NSimSun" w:eastAsia="NSimSun" w:cs="NSimSun"/>
        <w:sz w:val="15"/>
        <w:szCs w:val="15"/>
        <w:color w:val="231F20"/>
        <w:spacing w:val="-29"/>
      </w:rPr>
      <w:t xml:space="preserve"> </w:t>
    </w:r>
    <w:r>
      <w:rPr>
        <w:rFonts w:ascii="NSimSun" w:hAnsi="NSimSun" w:eastAsia="NSimSun" w:cs="NSimSun"/>
        <w:sz w:val="15"/>
        <w:szCs w:val="15"/>
        <w:color w:val="231F20"/>
      </w:rPr>
      <w:t>No.26</w:t>
    </w:r>
    <w:r>
      <w:rPr>
        <w:rFonts w:ascii="NSimSun" w:hAnsi="NSimSun" w:eastAsia="NSimSun" w:cs="NSimSun"/>
        <w:sz w:val="15"/>
        <w:szCs w:val="15"/>
        <w:color w:val="231F20"/>
        <w:spacing w:val="-30"/>
      </w:rPr>
      <w:t xml:space="preserve"> </w:t>
    </w:r>
    <w:r>
      <w:rPr>
        <w:rFonts w:ascii="NSimSun" w:hAnsi="NSimSun" w:eastAsia="NSimSun" w:cs="NSimSun"/>
        <w:sz w:val="15"/>
        <w:szCs w:val="15"/>
        <w:color w:val="231F20"/>
      </w:rPr>
      <w:t>Issue</w:t>
    </w:r>
    <w:r>
      <w:rPr>
        <w:rFonts w:ascii="NSimSun" w:hAnsi="NSimSun" w:eastAsia="NSimSun" w:cs="NSimSun"/>
        <w:sz w:val="15"/>
        <w:szCs w:val="15"/>
        <w:color w:val="231F20"/>
        <w:spacing w:val="-29"/>
      </w:rPr>
      <w:t xml:space="preserve"> </w:t>
    </w:r>
    <w:r>
      <w:rPr>
        <w:rFonts w:ascii="NSimSun" w:hAnsi="NSimSun" w:eastAsia="NSimSun" w:cs="NSimSun"/>
        <w:sz w:val="15"/>
        <w:szCs w:val="15"/>
        <w:color w:val="231F20"/>
      </w:rPr>
      <w:t>No.613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40"/>
      <w:spacing w:before="33" w:line="211" w:lineRule="auto"/>
      <w:rPr>
        <w:rFonts w:ascii="NSimSun" w:hAnsi="NSimSun" w:eastAsia="NSimSun" w:cs="NSimSun"/>
        <w:sz w:val="15"/>
        <w:szCs w:val="15"/>
      </w:rPr>
    </w:pPr>
    <w:r>
      <w:pict>
        <v:shape id="WordPictureWatermark8" style="position:absolute;margin-left:20.4pt;margin-top:814.489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pict>
        <v:shape id="_x0000_s10" style="position:absolute;margin-left:56.693pt;margin-top:64.6209pt;mso-position-vertical-relative:page;mso-position-horizontal-relative:page;width:481.9pt;height:0.4pt;z-index:251661312;" o:allowincell="f" filled="false" strokecolor="#231F20" strokeweight="0.37pt" coordsize="9637,8" coordorigin="0,0" path="m0,3l9637,3e">
          <v:stroke joinstyle="miter" miterlimit="4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</w:rPr>
      <w:t>当代医学    </w:t>
    </w:r>
    <w:r>
      <w:rPr>
        <w:rFonts w:ascii="NSimSun" w:hAnsi="NSimSun" w:eastAsia="NSimSun" w:cs="NSimSun"/>
        <w:sz w:val="15"/>
        <w:szCs w:val="15"/>
        <w:color w:val="231F20"/>
      </w:rPr>
      <w:t>2021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6"/>
      </w:rPr>
      <w:t xml:space="preserve"> </w:t>
    </w:r>
    <w:r>
      <w:rPr>
        <w:rFonts w:ascii="NSimSun" w:hAnsi="NSimSun" w:eastAsia="NSimSun" w:cs="NSimSun"/>
        <w:sz w:val="15"/>
        <w:szCs w:val="15"/>
        <w:color w:val="231F20"/>
      </w:rPr>
      <w:t>9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月第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0"/>
      </w:rPr>
      <w:t xml:space="preserve"> </w:t>
    </w:r>
    <w:r>
      <w:rPr>
        <w:rFonts w:ascii="NSimSun" w:hAnsi="NSimSun" w:eastAsia="NSimSun" w:cs="NSimSun"/>
        <w:sz w:val="15"/>
        <w:szCs w:val="15"/>
        <w:color w:val="231F20"/>
      </w:rPr>
      <w:t>27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卷第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9"/>
      </w:rPr>
      <w:t xml:space="preserve"> </w:t>
    </w:r>
    <w:r>
      <w:rPr>
        <w:rFonts w:ascii="NSimSun" w:hAnsi="NSimSun" w:eastAsia="NSimSun" w:cs="NSimSun"/>
        <w:sz w:val="15"/>
        <w:szCs w:val="15"/>
        <w:color w:val="231F20"/>
      </w:rPr>
      <w:t>26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期总第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9"/>
      </w:rPr>
      <w:t xml:space="preserve"> </w:t>
    </w:r>
    <w:r>
      <w:rPr>
        <w:rFonts w:ascii="NSimSun" w:hAnsi="NSimSun" w:eastAsia="NSimSun" w:cs="NSimSun"/>
        <w:sz w:val="15"/>
        <w:szCs w:val="15"/>
        <w:color w:val="231F20"/>
      </w:rPr>
      <w:t>613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期   </w:t>
    </w:r>
    <w:r>
      <w:rPr>
        <w:rFonts w:ascii="NSimSun" w:hAnsi="NSimSun" w:eastAsia="NSimSun" w:cs="NSimSun"/>
        <w:sz w:val="15"/>
        <w:szCs w:val="15"/>
        <w:color w:val="231F20"/>
      </w:rPr>
      <w:t>Contemporary</w:t>
    </w:r>
    <w:r>
      <w:rPr>
        <w:rFonts w:ascii="NSimSun" w:hAnsi="NSimSun" w:eastAsia="NSimSun" w:cs="NSimSun"/>
        <w:sz w:val="15"/>
        <w:szCs w:val="15"/>
        <w:color w:val="231F20"/>
      </w:rPr>
      <w:t xml:space="preserve"> </w:t>
    </w:r>
    <w:r>
      <w:rPr>
        <w:rFonts w:ascii="NSimSun" w:hAnsi="NSimSun" w:eastAsia="NSimSun" w:cs="NSimSun"/>
        <w:sz w:val="15"/>
        <w:szCs w:val="15"/>
        <w:color w:val="231F20"/>
      </w:rPr>
      <w:t>Medicine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，</w:t>
    </w:r>
    <w:r>
      <w:rPr>
        <w:rFonts w:ascii="NSimSun" w:hAnsi="NSimSun" w:eastAsia="NSimSun" w:cs="NSimSun"/>
        <w:sz w:val="15"/>
        <w:szCs w:val="15"/>
        <w:color w:val="231F20"/>
      </w:rPr>
      <w:t>Sep.2021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，</w:t>
    </w:r>
    <w:r>
      <w:rPr>
        <w:rFonts w:ascii="NSimSun" w:hAnsi="NSimSun" w:eastAsia="NSimSun" w:cs="NSimSun"/>
        <w:sz w:val="15"/>
        <w:szCs w:val="15"/>
        <w:color w:val="231F20"/>
      </w:rPr>
      <w:t>Vol.27</w:t>
    </w:r>
    <w:r>
      <w:rPr>
        <w:rFonts w:ascii="NSimSun" w:hAnsi="NSimSun" w:eastAsia="NSimSun" w:cs="NSimSun"/>
        <w:sz w:val="15"/>
        <w:szCs w:val="15"/>
        <w:color w:val="231F20"/>
        <w:spacing w:val="-29"/>
      </w:rPr>
      <w:t xml:space="preserve"> </w:t>
    </w:r>
    <w:r>
      <w:rPr>
        <w:rFonts w:ascii="NSimSun" w:hAnsi="NSimSun" w:eastAsia="NSimSun" w:cs="NSimSun"/>
        <w:sz w:val="15"/>
        <w:szCs w:val="15"/>
        <w:color w:val="231F20"/>
      </w:rPr>
      <w:t>No.26</w:t>
    </w:r>
    <w:r>
      <w:rPr>
        <w:rFonts w:ascii="NSimSun" w:hAnsi="NSimSun" w:eastAsia="NSimSun" w:cs="NSimSun"/>
        <w:sz w:val="15"/>
        <w:szCs w:val="15"/>
        <w:color w:val="231F20"/>
        <w:spacing w:val="-30"/>
      </w:rPr>
      <w:t xml:space="preserve"> </w:t>
    </w:r>
    <w:r>
      <w:rPr>
        <w:rFonts w:ascii="NSimSun" w:hAnsi="NSimSun" w:eastAsia="NSimSun" w:cs="NSimSun"/>
        <w:sz w:val="15"/>
        <w:szCs w:val="15"/>
        <w:color w:val="231F20"/>
      </w:rPr>
      <w:t>Issue</w:t>
    </w:r>
    <w:r>
      <w:rPr>
        <w:rFonts w:ascii="NSimSun" w:hAnsi="NSimSun" w:eastAsia="NSimSun" w:cs="NSimSun"/>
        <w:sz w:val="15"/>
        <w:szCs w:val="15"/>
        <w:color w:val="231F20"/>
        <w:spacing w:val="-29"/>
      </w:rPr>
      <w:t xml:space="preserve"> </w:t>
    </w:r>
    <w:r>
      <w:rPr>
        <w:rFonts w:ascii="NSimSun" w:hAnsi="NSimSun" w:eastAsia="NSimSun" w:cs="NSimSun"/>
        <w:sz w:val="15"/>
        <w:szCs w:val="15"/>
        <w:color w:val="231F20"/>
      </w:rPr>
      <w:t>No.613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footer" Target="footer2.xml"/><Relationship Id="rId3" Type="http://schemas.openxmlformats.org/officeDocument/2006/relationships/header" Target="header2.xml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2023-02-09T22:43:08Z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2025-10-28T21:36:38</vt:filetime>
  </property>
</Properties>
</file>